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3.jpg" ContentType="image/jpeg"/>
  <Override PartName="/word/media/rId74.jpg" ContentType="image/jpeg"/>
  <Override PartName="/word/media/rId39.png" ContentType="image/png"/>
  <Override PartName="/word/media/rId71.jpg" ContentType="image/jpeg"/>
  <Override PartName="/word/media/rId93.jpg" ContentType="image/jpeg"/>
  <Override PartName="/word/media/rId42.png" ContentType="image/png"/>
  <Override PartName="/word/media/rId94.jpg" ContentType="image/jpeg"/>
  <Override PartName="/word/media/rId77.jpg" ContentType="image/jpeg"/>
  <Override PartName="/word/media/rId76.jpg" ContentType="image/jpeg"/>
  <Override PartName="/word/media/rId95.jpg" ContentType="image/jpeg"/>
  <Override PartName="/word/media/rId96.jpg" ContentType="image/jpeg"/>
  <Override PartName="/word/media/rId46.png" ContentType="image/png"/>
  <Override PartName="/word/media/rId4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synchrony</w:t>
      </w:r>
      <w:r>
        <w:t xml:space="preserve"> </w:t>
      </w:r>
      <w:r>
        <w:t xml:space="preserve">and</w:t>
      </w:r>
      <w:r>
        <w:t xml:space="preserve"> </w:t>
      </w:r>
      <w:r>
        <w:t xml:space="preserve">variability</w:t>
      </w:r>
      <w:r>
        <w:t xml:space="preserve"> </w:t>
      </w:r>
      <w:r>
        <w:t xml:space="preserve">in</w:t>
      </w:r>
      <w:r>
        <w:t xml:space="preserve"> </w:t>
      </w:r>
      <w:r>
        <w:t xml:space="preserve">source</w:t>
      </w:r>
      <w:r>
        <w:t xml:space="preserve"> </w:t>
      </w:r>
      <w:r>
        <w:t xml:space="preserve">water</w:t>
      </w:r>
      <w:r>
        <w:t xml:space="preserve"> </w:t>
      </w:r>
      <w:r>
        <w:t xml:space="preserve">quality</w:t>
      </w:r>
      <w:r>
        <w:t xml:space="preserve"> </w:t>
      </w:r>
      <w:r>
        <w:t xml:space="preserve">across</w:t>
      </w:r>
      <w:r>
        <w:t xml:space="preserve"> </w:t>
      </w:r>
      <w:r>
        <w:t xml:space="preserve">nested</w:t>
      </w:r>
      <w:r>
        <w:t xml:space="preserve"> </w:t>
      </w:r>
      <w:r>
        <w:t xml:space="preserve">catchments</w:t>
      </w:r>
      <w:r>
        <w:t xml:space="preserve"> </w:t>
      </w:r>
      <w:r>
        <w:t xml:space="preserve">of</w:t>
      </w:r>
      <w:r>
        <w:t xml:space="preserve"> </w:t>
      </w:r>
      <w:r>
        <w:t xml:space="preserve">a</w:t>
      </w:r>
      <w:r>
        <w:t xml:space="preserve"> </w:t>
      </w:r>
      <w:r>
        <w:t xml:space="preserve">protected</w:t>
      </w:r>
      <w:r>
        <w:t xml:space="preserve"> </w:t>
      </w:r>
      <w:r>
        <w:t xml:space="preserve">second</w:t>
      </w:r>
      <w:r>
        <w:t xml:space="preserve"> </w:t>
      </w:r>
      <w:r>
        <w:t xml:space="preserve">growth</w:t>
      </w:r>
      <w:r>
        <w:t xml:space="preserve"> </w:t>
      </w:r>
      <w:r>
        <w:t xml:space="preserve">forested</w:t>
      </w:r>
      <w:r>
        <w:t xml:space="preserve"> </w:t>
      </w:r>
      <w:r>
        <w:t xml:space="preserve">water</w:t>
      </w:r>
      <w:r>
        <w:t xml:space="preserve"> </w:t>
      </w:r>
      <w:r>
        <w:t xml:space="preserve">supply</w:t>
      </w:r>
      <w:r>
        <w:t xml:space="preserve"> </w:t>
      </w:r>
      <w:r>
        <w:t xml:space="preserve">area</w:t>
      </w:r>
    </w:p>
    <w:p>
      <w:pPr>
        <w:pStyle w:val="Author"/>
      </w:pPr>
      <w:r>
        <w:t xml:space="preserve">Hannah</w:t>
      </w:r>
      <w:r>
        <w:t xml:space="preserve"> </w:t>
      </w:r>
      <w:r>
        <w:t xml:space="preserve">J.</w:t>
      </w:r>
      <w:r>
        <w:t xml:space="preserve"> </w:t>
      </w:r>
      <w:r>
        <w:t xml:space="preserve">McSorley</w:t>
      </w:r>
    </w:p>
    <w:p>
      <w:pPr>
        <w:pStyle w:val="Date"/>
      </w:pPr>
      <w:r>
        <w:t xml:space="preserve">April</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X56a9ecc5cf2e0aa628e078dfedd7747dd2d858c"/>
      <w:r>
        <w:t xml:space="preserve">Abstract (max 350 words) - roman numeral TOC</w:t>
      </w:r>
      <w:bookmarkEnd w:id="20"/>
    </w:p>
    <w:p>
      <w:pPr>
        <w:pStyle w:val="FirstParagraph"/>
      </w:pPr>
      <w:r>
        <w:t xml:space="preserve">This research contributes to understanding the</w:t>
      </w:r>
      <w:r>
        <w:t xml:space="preserve"> </w:t>
      </w:r>
      <w:r>
        <w:t xml:space="preserve">“</w:t>
      </w:r>
      <w:r>
        <w:t xml:space="preserve">natural</w:t>
      </w:r>
      <w:r>
        <w:t xml:space="preserve">”</w:t>
      </w:r>
      <w:r>
        <w:t xml:space="preserve"> </w:t>
      </w:r>
      <w:r>
        <w:t xml:space="preserve">variability in DOM and DOC across a forested riverine watershed: the Leech River watershed on Vancouver Island, British Columbia, Canada. Land-use impacts are minimal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The purpose of this master’s research project was to establish a baseline understanding of hydrologic responses and water quality variability in rivers across the LWSA. The approach includes advanced synoptic sampling within stormflow, supplemented with standard grab samples between storm events and during summer baseflow. Discrete samples of river water were collected passively during the rising limb of stormflow (falling limb prototype in progress)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fairly good spatial resolution of hydrochemical variability across the watershed.</w:t>
      </w:r>
    </w:p>
    <w:p>
      <w:pPr>
        <w:pStyle w:val="Heading1"/>
      </w:pPr>
      <w:bookmarkStart w:id="21" w:name="X54c98ab769191a1bb69355fb7c873e09a969d75"/>
      <w:r>
        <w:t xml:space="preserve">Lay Summary (max 150 words) - roman numeral TOC</w:t>
      </w:r>
      <w:bookmarkEnd w:id="21"/>
    </w:p>
    <w:p>
      <w:pPr>
        <w:pStyle w:val="FirstParagraph"/>
      </w:pPr>
      <w:r>
        <w:t xml:space="preserve">include plain-language summary</w:t>
      </w:r>
    </w:p>
    <w:p>
      <w:pPr>
        <w:pStyle w:val="Heading1"/>
      </w:pPr>
      <w:bookmarkStart w:id="22" w:name="preface---roman-numeral-toc"/>
      <w:r>
        <w:t xml:space="preserve">Preface - roman numeral TOC</w:t>
      </w:r>
      <w:bookmarkEnd w:id="22"/>
    </w:p>
    <w:p>
      <w:pPr>
        <w:pStyle w:val="FirstParagraph"/>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*TOC follows, then LOT, LOF, List of Illustrations, list of abbreviations</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accommodation of the Capital Regional District (CRD) Watershed Protection and Management Division, Integrated Water Services (IWS) (Victoria, BC). I would like to acknowledge the help, support and assistance provided by the following CRD people: Tobi Gardner, Annette Constabel, Kathy Haesevoats, Joel Ussery, Ryan Biggs, Patrick McCoubrey, Burn Hemus, Christoph Moch, Jessica Dupuis, and Devon Barnes.</w:t>
      </w:r>
    </w:p>
    <w:p>
      <w:pPr>
        <w:pStyle w:val="BodyText"/>
      </w:pPr>
      <w:r>
        <w:t xml:space="preserve">I’m grateful to have been supported by the entire CRD Field Operations Staff, thanks for making me feel welcome and included on site.</w:t>
      </w:r>
    </w:p>
    <w:p>
      <w:pPr>
        <w:pStyle w:val="BodyText"/>
      </w:pPr>
      <w:r>
        <w:t xml:space="preserve">This research also would not have been possible without the support and encouragement from academic supervisors and partners from the NSERC forWater Network for Forested Drinking Water Source Protection Technologies: Bill Floyd, Mark Johnson, Suzanne Tank, Mike Stone, Dana Harriman, Monica Emelko, Uldis Silins, Axel Anderson.</w:t>
      </w:r>
    </w:p>
    <w:p>
      <w:pPr>
        <w:pStyle w:val="BodyText"/>
      </w:pPr>
      <w:r>
        <w:t xml:space="preserve">For help with field installations and streamflow gauging, a big thanks to my former field partner, Stewart Butler, of Bill Floyd’s Coastal Hydrology Research Lab; thanks Stew. Thanks also to Alison Bishop for field assistance during the winter of 2019/2020.</w:t>
      </w:r>
    </w:p>
    <w:p>
      <w:pPr>
        <w:pStyle w:val="BodyText"/>
      </w:pPr>
      <w:r>
        <w:t xml:space="preserve">Last but certainly not least, thanks to my wonderful friends and family for supporting me in my scientific and academic pursuits. I really appreciate all the love and support, bike rides and beers, proof-reading and encouragement.</w:t>
      </w:r>
    </w:p>
    <w:p>
      <w:pPr>
        <w:pStyle w:val="Heading1"/>
      </w:pPr>
      <w:bookmarkStart w:id="25" w:name="dedication"/>
      <w:r>
        <w:t xml:space="preserve">Dedication</w:t>
      </w:r>
      <w:bookmarkEnd w:id="25"/>
    </w:p>
    <w:p>
      <w:pPr>
        <w:pStyle w:val="FirstParagraph"/>
      </w:pPr>
      <w:r>
        <w:t xml:space="preserve">To each person who reads this thesis in its entirety.</w:t>
      </w:r>
    </w:p>
    <w:p>
      <w:pPr>
        <w:pStyle w:val="BodyText"/>
      </w:pPr>
      <w:r>
        <w:t xml:space="preserve">For the love of data science, I am grateful for Jenny Byran’s online resources, StackOverflow (</w:t>
      </w:r>
      <w:hyperlink r:id="rId26">
        <w:r>
          <w:rPr>
            <w:rStyle w:val="Hyperlink"/>
          </w:rPr>
          <w:t xml:space="preserve">http://stackoverflow.com</w:t>
        </w:r>
      </w:hyperlink>
      <w:r>
        <w:t xml:space="preserve">) for the solution to so many coding challenges.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w:t>
      </w:r>
      <w:r>
        <w:t xml:space="preserve">Not only is it vital to all biological functions on earth, water links abiotic and biotic, connects the earth to the atmosphere, and creates a dynamic fluid continuum between ecosystems.</w:t>
      </w:r>
      <w:r>
        <w:t xml:space="preserve">”</w:t>
      </w:r>
      <w:r>
        <w:t xml:space="preserve"> </w:t>
      </w:r>
      <w:r>
        <w:t xml:space="preserve">~ Hannah McSorley</w:t>
      </w:r>
    </w:p>
    <w:p>
      <w:pPr>
        <w:pStyle w:val="Heading1"/>
      </w:pPr>
      <w:bookmarkStart w:id="27" w:name="introduction"/>
      <w:r>
        <w:t xml:space="preserve">1 Introduction</w:t>
      </w:r>
      <w:bookmarkEnd w:id="27"/>
    </w:p>
    <w:p>
      <w:pPr>
        <w:pStyle w:val="Heading2"/>
      </w:pPr>
      <w:bookmarkStart w:id="28" w:name="X950a60ad65bf96ca879ca6f7ac714147c4499d1"/>
      <w:r>
        <w:t xml:space="preserve">1.1 Forested source water supplies and drinking water treatment</w:t>
      </w:r>
      <w:bookmarkEnd w:id="28"/>
    </w:p>
    <w:p>
      <w:pPr>
        <w:pStyle w:val="FirstParagraph"/>
      </w:pPr>
      <w:r>
        <w:t xml:space="preserve">Surface water is the primary source of drinking water for over 85% of the Canadian population and in the province of British Columbia, approximately 80% of drinking water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resulting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Surface water quality varies over time and space due to climate, weather, and physical characteristics of the watershed (such as topography, land cover and geology), and runoff processes introduce terrestrial material, sediments, nutrients, and organic matter to surface water</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w:t>
      </w:r>
      <w:r>
        <w:t xml:space="preserve">.</w:t>
      </w:r>
    </w:p>
    <w:p>
      <w:pPr>
        <w:pStyle w:val="BodyText"/>
      </w:pPr>
      <w:r>
        <w:t xml:space="preserve">In Canada, all drinking source water is treated to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Drinking water treatment processes vary from simple chlorination to multiple stages of chemically assisted filtration in combination with advanced oxidative processes. Water treatment protocols differ between communities based on source water quality, infrastructure capabilities, budget, and regional water quality regulations [!!REFS]. Chlorination remains the most widely used method of inactivating potentially harmful microorganisms, whether it stands alone as the primary and sole treatment protocol, or is used in combination with other processes</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When natural source water is chlorinated, chemical reactions with natural organic matter (NOM) can form a variety of chlorinated organic compounds which are broadly classified as disinfection byproducts (DBPs)</w:t>
      </w:r>
      <w:r>
        <w:t xml:space="preserve"> </w:t>
      </w:r>
      <w:r>
        <w:t xml:space="preserve">(Richardson et al.</w:t>
      </w:r>
      <w:r>
        <w:t xml:space="preserve"> </w:t>
      </w:r>
      <w:hyperlink w:anchor="ref-Richardson2007">
        <w:r>
          <w:rPr>
            <w:rStyle w:val="Hyperlink"/>
          </w:rPr>
          <w:t xml:space="preserve">2007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r>
        <w:t xml:space="preserve">; Yang et al.</w:t>
      </w:r>
      <w:r>
        <w:t xml:space="preserve"> </w:t>
      </w:r>
      <w:hyperlink w:anchor="ref-Yang2015">
        <w:r>
          <w:rPr>
            <w:rStyle w:val="Hyperlink"/>
          </w:rPr>
          <w:t xml:space="preserve">2015</w:t>
        </w:r>
      </w:hyperlink>
      <w:r>
        <w:t xml:space="preserve">; Hua, Reckhow, and Abusallout</w:t>
      </w:r>
      <w:r>
        <w:t xml:space="preserve"> </w:t>
      </w:r>
      <w:hyperlink w:anchor="ref-Hua2015">
        <w:r>
          <w:rPr>
            <w:rStyle w:val="Hyperlink"/>
          </w:rPr>
          <w:t xml:space="preserve">2015</w:t>
        </w:r>
      </w:hyperlink>
      <w:r>
        <w:t xml:space="preserve">; Eaton, A. D., Clesceri, L. S., Greenberg, A. E., Franson</w:t>
      </w:r>
      <w:r>
        <w:t xml:space="preserve"> </w:t>
      </w:r>
      <w:hyperlink w:anchor="ref-StdMet2000">
        <w:r>
          <w:rPr>
            <w:rStyle w:val="Hyperlink"/>
          </w:rPr>
          <w:t xml:space="preserve">2000</w:t>
        </w:r>
      </w:hyperlink>
      <w:r>
        <w:t xml:space="preserve">)</w:t>
      </w:r>
      <w:r>
        <w:t xml:space="preserve">. A number of DBPs are included in Health Canada’s drinking water quality guidelines, and have maximum allowable concentrations in treated water due to their potential or known health affects (i.e., genotoxicity and carcinogenicity)</w:t>
      </w:r>
      <w:r>
        <w:t xml:space="preserve"> </w:t>
      </w:r>
      <w:r>
        <w:t xml:space="preserve">(Richardson et al.</w:t>
      </w:r>
      <w:r>
        <w:t xml:space="preserve"> </w:t>
      </w:r>
      <w:hyperlink w:anchor="ref-Richardson2007">
        <w:r>
          <w:rPr>
            <w:rStyle w:val="Hyperlink"/>
          </w:rPr>
          <w:t xml:space="preserve">2007</w:t>
        </w:r>
      </w:hyperlink>
      <w:r>
        <w:t xml:space="preserve">; British Columbia Ministry of Environment</w:t>
      </w:r>
      <w:r>
        <w:t xml:space="preserve"> </w:t>
      </w:r>
      <w:hyperlink w:anchor="ref-BC2019">
        <w:r>
          <w:rPr>
            <w:rStyle w:val="Hyperlink"/>
          </w:rPr>
          <w:t xml:space="preserve">2017</w:t>
        </w:r>
      </w:hyperlink>
      <w:r>
        <w:t xml:space="preserve">)</w:t>
      </w:r>
      <w:r>
        <w:t xml:space="preserve">.</w:t>
      </w:r>
    </w:p>
    <w:p>
      <w:pPr>
        <w:pStyle w:val="Heading2"/>
      </w:pPr>
      <w:bookmarkStart w:id="29" w:name="aqueous-natural-organic-matter"/>
      <w:r>
        <w:t xml:space="preserve">1.2 Aqueous natural organic matter</w:t>
      </w:r>
      <w:bookmarkEnd w:id="29"/>
    </w:p>
    <w:p>
      <w:pPr>
        <w:pStyle w:val="FirstParagraph"/>
      </w:pPr>
      <w:r>
        <w:t xml:space="preserve">Source water treatability varies with Natural organic matter (NOM) concentration and character, which depend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w:t>
      </w:r>
      <w:r>
        <w:t xml:space="preserve">. Molecular composition and physical structure influence NOM reactivity, therefore different types of aqueous NOM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r>
        <w:t xml:space="preserve">; Chow et al.</w:t>
      </w:r>
      <w:r>
        <w:t xml:space="preserve"> </w:t>
      </w:r>
      <w:hyperlink w:anchor="ref-Chow2008">
        <w:r>
          <w:rPr>
            <w:rStyle w:val="Hyperlink"/>
          </w:rPr>
          <w:t xml:space="preserve">2008</w:t>
        </w:r>
      </w:hyperlink>
      <w:r>
        <w:t xml:space="preserve">)</w:t>
      </w:r>
      <w:r>
        <w:t xml:space="preserve">. NOM comprises a dynamic collection of molecules from a variety of sources, and aqueous NOM exists in complex and diverse combinations of particulate, colloidal and dissolved fractions. NOM can be introduced to a water body from terrestrial sources or generated through in-stream processes which are often associated with autotrophic organisms like algae and cyanobacteria (autochthonous NOM). Terrestrial organic matter (allochthonous NOM) includes humic and fluvic acids, tannins, and a wide variety of other compounds (e.g. phenols and lignin, hydrocarbons, proteins, carbohydrates, etc.), which enter fresh water through runoff processes</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r>
        <w:t xml:space="preserve">)</w:t>
      </w:r>
      <w:r>
        <w:t xml:space="preserve">.</w:t>
      </w:r>
    </w:p>
    <w:p>
      <w:pPr>
        <w:pStyle w:val="BodyText"/>
      </w:pPr>
      <w:r>
        <w:t xml:space="preserve">NOM molecules contain nitrogen, silica, oxygen and hydrogen but are composed primarily of organic carbon; thus, organic carbon is often measured as a proxy for NOM concentration</w:t>
      </w:r>
      <w:r>
        <w:t xml:space="preserve"> </w:t>
      </w:r>
      <w:r>
        <w:t xml:space="preserve">(Health Canada</w:t>
      </w:r>
      <w:r>
        <w:t xml:space="preserve"> </w:t>
      </w:r>
      <w:hyperlink w:anchor="ref-HealthCanada2019">
        <w:r>
          <w:rPr>
            <w:rStyle w:val="Hyperlink"/>
          </w:rPr>
          <w:t xml:space="preserve">2019</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(Eaton, A. D., Clesceri, L. S., Greenberg, A. E., Franson</w:t>
      </w:r>
      <w:r>
        <w:t xml:space="preserve"> </w:t>
      </w:r>
      <w:hyperlink w:anchor="ref-StdMet2000">
        <w:r>
          <w:rPr>
            <w:rStyle w:val="Hyperlink"/>
          </w:rPr>
          <w:t xml:space="preserve">2000</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aqueous TOC,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As DOC is likely to generate DBPs during chlorination, it is an important source water quality parameter to monitor. In fact, guidelines in British Columbia specify that source water TOC should remain below 4 mg/L to reduce DBPs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In addition to acting as a precursor for DBPs, NOM has the ability to bind and transport contaminants in solution (e.g. metals, organic pollutants, nutrients) and influences stream pH, as well as aquatic light and temperature regimes</w:t>
      </w:r>
      <w:r>
        <w:t xml:space="preserve"> </w:t>
      </w:r>
      <w:r>
        <w:t xml:space="preserve">(Oni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w:t>
      </w:r>
      <w:r>
        <w:t xml:space="preserve">. NOM is an energy source for aquatic heterotrophic microbes</w:t>
      </w:r>
      <w:r>
        <w:t xml:space="preserve"> </w:t>
      </w:r>
      <w:r>
        <w:t xml:space="preserve">(Stanley et al.</w:t>
      </w:r>
      <w:r>
        <w:t xml:space="preserve"> </w:t>
      </w:r>
      <w:hyperlink w:anchor="ref-Stanley2012">
        <w:r>
          <w:rPr>
            <w:rStyle w:val="Hyperlink"/>
          </w:rPr>
          <w:t xml:space="preserve">2012</w:t>
        </w:r>
      </w:hyperlink>
      <w:r>
        <w:t xml:space="preserve">)</w:t>
      </w:r>
      <w:r>
        <w:t xml:space="preserve"> </w:t>
      </w:r>
      <w:r>
        <w:t xml:space="preserve">and as such, could contribute to biofouling of water supply and treatment infrastructure (which could lead to service disruptions). DOC has been called a</w:t>
      </w:r>
      <w:r>
        <w:t xml:space="preserve"> </w:t>
      </w:r>
      <w:r>
        <w:t xml:space="preserve">“</w:t>
      </w:r>
      <w:r>
        <w:t xml:space="preserve">master variable</w:t>
      </w:r>
      <w:r>
        <w:t xml:space="preserve">”</w:t>
      </w:r>
      <w:r>
        <w:t xml:space="preserve"> </w:t>
      </w:r>
      <w:r>
        <w:t xml:space="preserve">due to it’s terrestrial-aquatic linkages, influence on water chemistry and role in contaminant transport</w:t>
      </w:r>
      <w:r>
        <w:t xml:space="preserve"> </w:t>
      </w:r>
      <w:r>
        <w:t xml:space="preserve">(Zarnetske et al.</w:t>
      </w:r>
      <w:r>
        <w:t xml:space="preserve"> </w:t>
      </w:r>
      <w:hyperlink w:anchor="ref-Zarnetske2018">
        <w:r>
          <w:rPr>
            <w:rStyle w:val="Hyperlink"/>
          </w:rPr>
          <w:t xml:space="preserve">2018</w:t>
        </w:r>
      </w:hyperlink>
      <w:r>
        <w:t xml:space="preserve">)</w:t>
      </w:r>
      <w:r>
        <w:t xml:space="preserve">. Within a watershed, the characteristics and concentrations of NOM (and therefore DOC) naturally fluctuate over space and through time, creating dynamic treatability conditions</w:t>
      </w:r>
      <w:r>
        <w:t xml:space="preserve"> </w:t>
      </w:r>
      <w:r>
        <w:t xml:space="preserve">(Li et al.</w:t>
      </w:r>
      <w:r>
        <w:t xml:space="preserve"> </w:t>
      </w:r>
      <w:hyperlink w:anchor="ref-Li2014">
        <w:r>
          <w:rPr>
            <w:rStyle w:val="Hyperlink"/>
          </w:rPr>
          <w:t xml:space="preserve">2014</w:t>
        </w:r>
      </w:hyperlink>
      <w:r>
        <w:t xml:space="preserve">, @Yang2015)</w:t>
      </w:r>
      <w:r>
        <w:t xml:space="preserve">.</w:t>
      </w:r>
    </w:p>
    <w:p>
      <w:pPr>
        <w:pStyle w:val="Heading2"/>
      </w:pPr>
      <w:bookmarkStart w:id="30" w:name="watershed-processes-and-water-quality"/>
      <w:r>
        <w:t xml:space="preserve">1.3 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represent an important link between ecosystem processes, hydrology, and water resources. Biogeochemical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 The origins, transport and fate of biogeochemicals in source waters is important for drinking water treatment, because the quality of source water (physiochemical composition and concentrations) governs treatment requirements and largely dictates the quality of treated water, particularly with respect to disinfection byproducts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Water quality parameters exhibit natural variability across a river network due to dynamic biotic and abiotic interactions. For example, the river continuum concept (RCC) predicts a temporal shift in DOM character, including seasonal shifts between autotrophic generation of NOM and heterotrophic processing of detritus (i.e. autochthonous to allochthonous DOM)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r>
        <w:t xml:space="preserve"> </w:t>
      </w:r>
      <w:r>
        <w:t xml:space="preserve">The RCC also predicts a spatial reduction in DOM molecular diversity from headwaters (entry point for majority of solutes) to river mouth (i.e., reduced DOM diversity from low to high 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DOM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On a finer temporal scale, hydrologic pulses can cause temporal variability in DOM characteristics; for example, the character of DOM has been shown to vary during hydrologic response to precipitation, which indicates a change in DOM source over the course of an event</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(PSC) supplements the temporal aspects of RCC by considering how major hydrologic events drive regional DOM metabolism and the magnitude, timing and spatial extent of DOM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the majority of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w:t>
      </w:r>
    </w:p>
    <w:p>
      <w:pPr>
        <w:pStyle w:val="BodyText"/>
      </w:pPr>
      <w:r>
        <w:t xml:space="preserve">Through a large and geographically diverse data study in the United States,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(n=1006)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(Zarnetske et al.</w:t>
      </w:r>
      <w:r>
        <w:t xml:space="preserve"> </w:t>
      </w:r>
      <w:hyperlink w:anchor="ref-Zarnetske2018">
        <w:r>
          <w:rPr>
            <w:rStyle w:val="Hyperlink"/>
          </w:rPr>
          <w:t xml:space="preserve">2018</w:t>
        </w:r>
      </w:hyperlink>
      <w:r>
        <w:t xml:space="preserve">)</w:t>
      </w:r>
      <w:r>
        <w:t xml:space="preserve">. Zarnetske</w:t>
      </w:r>
      <w:r>
        <w:t xml:space="preserve"> </w:t>
      </w:r>
      <w:r>
        <w:rPr>
          <w:i/>
        </w:rPr>
        <w:t xml:space="preserve">et al</w:t>
      </w:r>
      <w:r>
        <w:t xml:space="preserve">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Aspects of both the RCC and PSC were illustrated in a recent nested catchment study by Abbott</w:t>
      </w:r>
      <w:r>
        <w:t xml:space="preserve"> </w:t>
      </w:r>
      <w:r>
        <w:rPr>
          <w:i/>
        </w:rPr>
        <w:t xml:space="preserve">et al</w:t>
      </w:r>
      <w:r>
        <w:t xml:space="preserve"> </w:t>
      </w:r>
      <w:r>
        <w:t xml:space="preserve">(</w:t>
      </w:r>
      <w:hyperlink w:anchor="ref-Abbott2018">
        <w:r>
          <w:rPr>
            <w:rStyle w:val="Hyperlink"/>
          </w:rPr>
          <w:t xml:space="preserve">2018</w:t>
        </w:r>
      </w:hyperlink>
      <w:r>
        <w:t xml:space="preserve">)</w:t>
      </w:r>
      <w:r>
        <w:t xml:space="preserve"> </w:t>
      </w:r>
      <w:r>
        <w:t xml:space="preserve">which found greater DOM chemical diversity in headwaters relative to downstream, but not greater temporal variance in headwaters biogeochemistry. Despite longitudinal differences in molecular character, solute concentrations varied synchronously among upstream and downstream sites, leading to temporal stability in relative biogeochemical signatures</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Heading2"/>
      </w:pPr>
      <w:bookmarkStart w:id="31" w:name="forwater-crd-gvwsa"/>
      <w:r>
        <w:t xml:space="preserve">1.4 forWater &amp; CRD GVWSA</w:t>
      </w:r>
      <w:bookmarkEnd w:id="31"/>
    </w:p>
    <w:p>
      <w:pPr>
        <w:pStyle w:val="Heading3"/>
      </w:pPr>
      <w:bookmarkStart w:id="32" w:name="X643ec34c0f615ff7e86edfe429d04afd53e5a94"/>
      <w:r>
        <w:t xml:space="preserve">1.4.1 The forWater NSERC Strategic Network for forested drinking water source protection technologies</w:t>
      </w:r>
      <w:bookmarkEnd w:id="32"/>
    </w:p>
    <w:p>
      <w:pPr>
        <w:pStyle w:val="FirstParagraph"/>
      </w:pPr>
      <w:r>
        <w:t xml:space="preserve">The NSERC Strategic Network, forWater,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treatement demands.</w:t>
      </w:r>
    </w:p>
    <w:p>
      <w:pPr>
        <w:pStyle w:val="BodyText"/>
      </w:pPr>
      <w:r>
        <w:t xml:space="preserve">Forest management and landscape disturbances can ultimately effect water treatability by altering material inputs, biogeochemical processes and stream ecology, as well as changing preferential flow-paths and the mobilization, transport and dilution of biogeochemcial components</w:t>
      </w:r>
      <w:r>
        <w:t xml:space="preserve"> </w:t>
      </w:r>
      <w:r>
        <w:t xml:space="preserve">(Meyer and Tate</w:t>
      </w:r>
      <w:r>
        <w:t xml:space="preserve"> </w:t>
      </w:r>
      <w:hyperlink w:anchor="ref-Meyer1983">
        <w:r>
          <w:rPr>
            <w:rStyle w:val="Hyperlink"/>
          </w:rPr>
          <w:t xml:space="preserve">1983</w:t>
        </w:r>
      </w:hyperlink>
      <w:r>
        <w:t xml:space="preserve">)</w:t>
      </w:r>
      <w:r>
        <w:t xml:space="preserve">. It has been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DOC trends related to land-use seem highly dependent on catchment attributes and hydrologic forces. High intensity and/or long duration precipitation events can deplete both terrestrial and aquatic NOM storage sources (e.g. high flows can disturb benthic NOM storage)</w:t>
      </w:r>
      <w:r>
        <w:t xml:space="preserve"> </w:t>
      </w:r>
      <w:r>
        <w:t xml:space="preserve">(Meyer and Tate</w:t>
      </w:r>
      <w:r>
        <w:t xml:space="preserve"> </w:t>
      </w:r>
      <w:hyperlink w:anchor="ref-Meyer1983">
        <w:r>
          <w:rPr>
            <w:rStyle w:val="Hyperlink"/>
          </w:rPr>
          <w:t xml:space="preserve">1983</w:t>
        </w:r>
      </w:hyperlink>
      <w:r>
        <w:t xml:space="preserve">)</w:t>
      </w:r>
      <w:r>
        <w:t xml:space="preserve">. Understanding the hydrochemistry of a water supply area is key to conducting informed preventative forest management applications.</w:t>
      </w:r>
    </w:p>
    <w:p>
      <w:pPr>
        <w:pStyle w:val="Heading3"/>
      </w:pPr>
      <w:bookmarkStart w:id="33" w:name="greater-victoria-water-supply-areas"/>
      <w:r>
        <w:t xml:space="preserve">1.3.2 Greater Victoria Water Supply Areas</w:t>
      </w:r>
      <w:bookmarkEnd w:id="33"/>
    </w:p>
    <w:p>
      <w:pPr>
        <w:pStyle w:val="FirstParagraph"/>
      </w:pPr>
      <w:r>
        <w:t xml:space="preserve">The Capital Regional District, a forWater Partner, is committed to the multiple barrier approach to clean drinking water and has taken control of source water protection by purchasing and privatizing the water supply areas for Greater Victoria. Located on southeastern Vancouver Island, British Columbia, the Greater Victoria Water Supply Area (GVWSA) includes 20,549 hectares (205.49 km</w:t>
      </w:r>
      <w:r>
        <w:rPr>
          <w:vertAlign w:val="superscript"/>
        </w:rPr>
        <w:t xml:space="preserve">2</w:t>
      </w:r>
      <w:r>
        <w:t xml:space="preserve">) of protected drinking water catchment lands. Currently, Greater Victoria’s water supply is sourced from five surface water reservoirs in the Sooke and Goldstream watersheds. In 2007 and 2010, the CRD purchased and additional 96.28 km</w:t>
      </w:r>
      <w:r>
        <w:rPr>
          <w:vertAlign w:val="superscript"/>
        </w:rPr>
        <w:t xml:space="preserve">2</w:t>
      </w:r>
      <w:r>
        <w:t xml:space="preserve"> </w:t>
      </w:r>
      <w:r>
        <w:t xml:space="preserve">(9,628 hectares) of land which included the majority of the Leech River watershed (a major sub-catchment of the Sooke River watershed). In anticipation of future water demands, this area was designated as a supplemental water supply for Greater Victoria: the Leech Water Supply Area (LWSA). In the future (possibly by 2050), inter-basin transfer will supplement the primary drinking water supply by moving Leech River water through a diversion tunnel to Sooke Reservoir. Approximately 92% of the Leech River watershed above the point of diversion (Leech Tunnel) is protected as WSA.</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many interesting research opportunities.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4"/>
      </w:pPr>
      <w:bookmarkStart w:id="34" w:name="forest-management"/>
      <w:r>
        <w:t xml:space="preserve">1.3.2.1 Forest management</w:t>
      </w:r>
      <w:bookmarkEnd w:id="34"/>
    </w:p>
    <w:p>
      <w:pPr>
        <w:pStyle w:val="FirstParagraph"/>
      </w:pPr>
      <w:r>
        <w:t xml:space="preserve">The LWSA was privately managed forest land which was extensively harvested over the past 70 years (nearly 96% clearcut); as a result, a large portion of the WSA is densely forested with softwood stands less than 35 years of age. The second growth forests of the LWSA are no longer managed for timber supply, they are now managed to improve drinking source water quality and to reduce the risk of landscape level wildfire. Due to harvest, reforestation and active fire suppression, forest fire fuels have accumulated and pose a threat in the event that a fire occurs. In the Sooke WSA, the CRD implements forest treatments designed to foster healthy forest stands capable of reducing fire intensity, such as reducing fuel hazards and creating conditions that are safe for crews to action a fire. Similarly, preventative fire treatments may be applied in the LWSA prior to inter-basin transfers. Developing an understanding of baseline water quality dynamics and hydrologic forces in the LWSA will help to inform forest management strategies by evaluating the effects of fire fuel management on water supply.</w:t>
      </w:r>
    </w:p>
    <w:p>
      <w:pPr>
        <w:pStyle w:val="Heading4"/>
      </w:pPr>
      <w:bookmarkStart w:id="35" w:name="Xa16e3865f55dfa335216c3b7e239c586bbd6383"/>
      <w:r>
        <w:t xml:space="preserve">1.3.2.2 Greater Victoria Drinking Water Treatment</w:t>
      </w:r>
      <w:bookmarkEnd w:id="35"/>
    </w:p>
    <w:p>
      <w:pPr>
        <w:pStyle w:val="FirstParagraph"/>
      </w:pPr>
      <w:r>
        <w:t xml:space="preserve">Island Health is the Vancouver Island Health Authority which oversees drinking water systems regulated under the provincial Drinking Water Protection Act and Drinking Water Protection Regulation frameworks. In keeping with Health Canada’s drinking water quality guidelines, the Act sets out requirements for drinking water operators &amp; suppliers to ensure the provision of safe drinking water. The CRD complies with all drinking water requirements as well as several that are not enforced in the province of BC. Treatment of source water from the Greater Victoria Water Supply Area is fairly simple: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distribution). Understanding dynamics and variability of hydrochemistry in the LWSA is needed to anticipate possible treatment challenges that may accompany future inter-basin transfer from the LWSA.</w:t>
      </w:r>
    </w:p>
    <w:p>
      <w:pPr>
        <w:pStyle w:val="Heading2"/>
      </w:pPr>
      <w:bookmarkStart w:id="36" w:name="research-objectives"/>
      <w:r>
        <w:t xml:space="preserve">1.5 Research Objectives</w:t>
      </w:r>
      <w:bookmarkEnd w:id="36"/>
    </w:p>
    <w:p>
      <w:pPr>
        <w:pStyle w:val="FirstParagraph"/>
      </w:pPr>
      <w:r>
        <w:t xml:space="preserve">As a member of the Watershed Science and Forest Management Theme of forWater, this research was conducted in partnership with the CRD to contribute to their pursuit of characterizing the Leech Water Supply Area, while contributing to our understanding of</w:t>
      </w:r>
      <w:r>
        <w:t xml:space="preserve"> </w:t>
      </w:r>
      <w:r>
        <w:t xml:space="preserve">“</w:t>
      </w:r>
      <w:r>
        <w:t xml:space="preserve">natural</w:t>
      </w:r>
      <w:r>
        <w:t xml:space="preserve">”</w:t>
      </w:r>
      <w:r>
        <w:t xml:space="preserve"> </w:t>
      </w:r>
      <w:r>
        <w:t xml:space="preserve">variations in source water quality (primarily with respect to DOM and DOC) across nested catchments in a second growth forested watershed. The objectives of this research were to quantify spatial and temporal patterns in DOC concentrations, and to explore the hydrochemical synchrony of nested catchments across the LWSA. Ideally, results of this research will contribute to baseline understanding for further exploration of forest management strategies, such as fire fuel management, and their impacts on source water quality and supply. Understanding source water quality, as well as the timing and magnitude of flows, is an essential component to multiple barrier approach to ensuring clean drinking water.</w:t>
      </w:r>
    </w:p>
    <w:p>
      <w:pPr>
        <w:pStyle w:val="Heading1"/>
      </w:pPr>
      <w:bookmarkStart w:id="37" w:name="methods"/>
      <w:r>
        <w:t xml:space="preserve">2 Methods</w:t>
      </w:r>
      <w:bookmarkEnd w:id="37"/>
    </w:p>
    <w:p>
      <w:pPr>
        <w:pStyle w:val="Heading2"/>
      </w:pPr>
      <w:bookmarkStart w:id="38" w:name="study-site-leech-river-watershed"/>
      <w:r>
        <w:t xml:space="preserve">2.1 Study Site: Leech River Watershed</w:t>
      </w:r>
      <w:bookmarkEnd w:id="38"/>
    </w:p>
    <w:p>
      <w:pPr>
        <w:pStyle w:val="FirstParagraph"/>
      </w:pPr>
      <w:r>
        <w:t xml:space="preserve">The Leech River watershed is a sub-catchment of the Sooke River watershed, located west of Sooke Reservoir (primary water supply for the Greater Victoria Area). In anticipation of future water demands and uncertainty related to rainfall and climate change, the Capital Regional District (CRD) purchased about 92% of the Leech River watershed in 2007 (84%) and 2010 (additional 8%) and designated the Leech Water Supply Area (LWSA) for future supplemental source water. Figure ### shows the Leech and Sooke Water Supply areas with elevation.</w:t>
      </w:r>
    </w:p>
    <w:p>
      <w:pPr>
        <w:pStyle w:val="BodyText"/>
      </w:pPr>
      <w:r>
        <w:t xml:space="preserve"> </w:t>
      </w:r>
      <w:r>
        <w:drawing>
          <wp:inline>
            <wp:extent cx="5943600" cy="5230705"/>
            <wp:effectExtent b="0" l="0" r="0" t="0"/>
            <wp:docPr descr="__Figure_The Leech and Sooke Water Supply Areas (Greater Victoria, CRD)" title="" id="1" name="Picture"/>
            <a:graphic>
              <a:graphicData uri="http://schemas.openxmlformats.org/drawingml/2006/picture">
                <pic:pic>
                  <pic:nvPicPr>
                    <pic:cNvPr descr="R-inputs_UBC-forWater-MSc_HMc/images/GVWSA_map-3.png" id="0" name="Picture"/>
                    <pic:cNvPicPr>
                      <a:picLocks noChangeArrowheads="1" noChangeAspect="1"/>
                    </pic:cNvPicPr>
                  </pic:nvPicPr>
                  <pic:blipFill>
                    <a:blip r:embed="rId39"/>
                    <a:stretch>
                      <a:fillRect/>
                    </a:stretch>
                  </pic:blipFill>
                  <pic:spPr bwMode="auto">
                    <a:xfrm>
                      <a:off x="0" y="0"/>
                      <a:ext cx="5943600" cy="5230705"/>
                    </a:xfrm>
                    <a:prstGeom prst="rect">
                      <a:avLst/>
                    </a:prstGeom>
                    <a:noFill/>
                    <a:ln w="9525">
                      <a:noFill/>
                      <a:headEnd/>
                      <a:tailEnd/>
                    </a:ln>
                  </pic:spPr>
                </pic:pic>
              </a:graphicData>
            </a:graphic>
          </wp:inline>
        </w:drawing>
      </w:r>
      <w:r>
        <w:t xml:space="preserve"> </w:t>
      </w:r>
    </w:p>
    <w:p>
      <w:pPr>
        <w:pStyle w:val="BodyText"/>
      </w:pPr>
      <w:r>
        <w:t xml:space="preserve">While monitoring programs began in 2017, the hydrology and water quality in the LWSA are poorly understood. The Leech River watershed includes three mainstem rivers (Cragg Creek, Leech River, and West Leech River) as well as several small headwater lakes (Weeks, Jarvis, and Worley) and wetlands (Jordan Meadows surrounding Weeks Lake and Lazar meadows north of Jarvis Lake). Runoff peaks in the winter under saturated conditions when rivers respond rapidly to precipitation events, rising and falling dramatically. Across the watershed, elevation ranges from approximately 200 m above sea level (asl), near the Leech Tunnel, to 941 m asl in the centre of the watershed, at the top of Survey Mountain.</w:t>
      </w:r>
    </w:p>
    <w:p>
      <w:pPr>
        <w:pStyle w:val="Heading3"/>
      </w:pPr>
      <w:bookmarkStart w:id="40" w:name="climate-weather-forests"/>
      <w:r>
        <w:t xml:space="preserve">2.1.1 Climate, Weather, Forests</w:t>
      </w:r>
      <w:bookmarkEnd w:id="40"/>
    </w:p>
    <w:p>
      <w:pPr>
        <w:pStyle w:val="FirstParagraph"/>
      </w:pPr>
      <w:r>
        <w:t xml:space="preserve">The Leech River watershed is in the Coastal Western Hemlock biogeoclimatic zone (CWH), with forests dominated by Douglas-fir (Pseudotsuga menziesii), western hemlock (Tsuga heterophylla) and western red cedar (Thuja plicata); subspecies include white pine (Pinus monticola), amabalis fir (Abies amabilis), alder (Alnus rubra), broad-leaf maple (Acer macrophyllum) and arbutus (Arbutus menziesii). The watershed also includes the moist and dry maritime sub-zones of the CWH (Montane moist 43%, submontane moist 38%, xeric 19%)</w:t>
      </w:r>
      <w:r>
        <w:t xml:space="preserve"> </w:t>
      </w:r>
      <w:r>
        <w:t xml:space="preserve">(Ussery and AECOM</w:t>
      </w:r>
      <w:r>
        <w:t xml:space="preserve"> </w:t>
      </w:r>
      <w:hyperlink w:anchor="ref-Ussery2015">
        <w:r>
          <w:rPr>
            <w:rStyle w:val="Hyperlink"/>
          </w:rPr>
          <w:t xml:space="preserve">2015</w:t>
        </w:r>
      </w:hyperlink>
      <w:r>
        <w:t xml:space="preserve">)</w:t>
      </w:r>
      <w:r>
        <w:t xml:space="preserve">. While some precipitation occurs as snow at higher elevations, the majority of the ~2500 mm per year is rain (i.e., pluvial hydroclimatic regime). The water year can be broadly divided into wet and dry seasons where approximately 90% of precipitation falls from October to April, and May through September are relatively dry.</w:t>
      </w:r>
    </w:p>
    <w:p>
      <w:pPr>
        <w:pStyle w:val="BodyText"/>
      </w:pPr>
      <w:r>
        <w:t xml:space="preserve">There are two weather stations which operated during the study period: Chris Creek station is located in the headwaters of the LWSA and Martin’s Gulch station is located near the future diversion point (Tunnel). The CRD provided weather station data from Chris Creek and Martin’s Gulch weather stations from 2018-01-01 to 2020-01-30. Rainfall and air temperature from each of the two LWSA weather stations is shown in Figure (ref:LeechWxPlot). Slightly more precipitation was recorded at Martin’s Gulch than Chris Creek station. Between the two sites, average annual rainfalls were 2010 mm in 2018, and 1460 mm in 2019. In January 2020, the LWSA weather stations recorded 512 mm of rain (including periods of rain on snow).</w:t>
      </w:r>
    </w:p>
    <w:p>
      <w:pPr>
        <w:pStyle w:val="BodyText"/>
      </w:pPr>
      <w:r>
        <w:t xml:space="preserve">These data included air temperature and precipitation. Precipitation data acquired from the CRD was used to delineate storms using (R package Rainmaker). Temperature data was referenced to subbasin temperatures recorded by vertical rack TidbiT loggers.</w:t>
      </w:r>
    </w:p>
    <w:p>
      <w:pPr>
        <w:pStyle w:val="BodyText"/>
      </w:pPr>
    </w:p>
    <w:p>
      <w:pPr>
        <w:pStyle w:val="BodyText"/>
      </w:pPr>
    </w:p>
    <w:p>
      <w:pPr>
        <w:pStyle w:val="BodyText"/>
      </w:pPr>
      <w:r>
        <w:t xml:space="preserve">There is a weather station on the Malahat mountain pass, east of the study site (ID 62091, BC Ministry of Transportation and Infrastructure and Pacific Climate Impacts) that had precipitation and air temperature data available from 2014 to 2020.</w:t>
      </w:r>
    </w:p>
    <w:p>
      <w:pPr>
        <w:pStyle w:val="BodyText"/>
      </w:pPr>
    </w:p>
    <w:p>
      <w:pPr>
        <w:pStyle w:val="BodyText"/>
      </w:pPr>
    </w:p>
    <w:p>
      <w:pPr>
        <w:pStyle w:val="Heading3"/>
      </w:pPr>
      <w:bookmarkStart w:id="41" w:name="synoptic-sampling-sites"/>
      <w:r>
        <w:t xml:space="preserve">2.1.2 Synoptic sampling sites</w:t>
      </w:r>
      <w:bookmarkEnd w:id="41"/>
    </w:p>
    <w:p>
      <w:pPr>
        <w:pStyle w:val="FirstParagraph"/>
      </w:pPr>
      <w:r>
        <w:t xml:space="preserve">Fifteen sites were sampled synoptically from October 2018 to February 2020. Figure ### shows the locations of the synoptically sampled sites as well as the two weather stations.</w:t>
      </w:r>
      <w:r>
        <w:t xml:space="preserve"> </w:t>
      </w:r>
      <w:r>
        <w:t xml:space="preserve"> </w:t>
      </w:r>
      <w:r>
        <w:drawing>
          <wp:inline>
            <wp:extent cx="5943600" cy="4224742"/>
            <wp:effectExtent b="0" l="0" r="0" t="0"/>
            <wp:docPr descr="__Figure_The Leech and Sooke Water Supply Areas (Greater Victoria, CRD)" title="" id="1" name="Picture"/>
            <a:graphic>
              <a:graphicData uri="http://schemas.openxmlformats.org/drawingml/2006/picture">
                <pic:pic>
                  <pic:nvPicPr>
                    <pic:cNvPr descr="R-inputs_UBC-forWater-MSc_HMc/images/Sample-Sites_Wx_map.png" id="0" name="Picture"/>
                    <pic:cNvPicPr>
                      <a:picLocks noChangeArrowheads="1" noChangeAspect="1"/>
                    </pic:cNvPicPr>
                  </pic:nvPicPr>
                  <pic:blipFill>
                    <a:blip r:embed="rId42"/>
                    <a:stretch>
                      <a:fillRect/>
                    </a:stretch>
                  </pic:blipFill>
                  <pic:spPr bwMode="auto">
                    <a:xfrm>
                      <a:off x="0" y="0"/>
                      <a:ext cx="5943600" cy="4224742"/>
                    </a:xfrm>
                    <a:prstGeom prst="rect">
                      <a:avLst/>
                    </a:prstGeom>
                    <a:noFill/>
                    <a:ln w="9525">
                      <a:noFill/>
                      <a:headEnd/>
                      <a:tailEnd/>
                    </a:ln>
                  </pic:spPr>
                </pic:pic>
              </a:graphicData>
            </a:graphic>
          </wp:inline>
        </w:drawing>
      </w:r>
      <w:r>
        <w:t xml:space="preserve"> </w:t>
      </w:r>
    </w:p>
    <w:p>
      <w:pPr>
        <w:pStyle w:val="BodyText"/>
      </w:pPr>
      <w:r>
        <w:t xml:space="preserve">Synoptic sampling involved collecting grab samples in triple-rinsed acid-washed 250 mL amber HDPE bottles. Samples were capped with minimal headspace and transported on ice. Synoptic samples were collected bi-weekly to monthly. Results from synoptic sampling help to inform spatiotemporal patterns in water quality.</w:t>
      </w:r>
    </w:p>
    <w:p>
      <w:pPr>
        <w:pStyle w:val="Heading3"/>
      </w:pPr>
      <w:bookmarkStart w:id="43" w:name="subbasin-monitoring-sites"/>
      <w:r>
        <w:t xml:space="preserve">2.1.3 Subbasin monitoring sites</w:t>
      </w:r>
      <w:bookmarkEnd w:id="43"/>
    </w:p>
    <w:p>
      <w:pPr>
        <w:pStyle w:val="FirstParagraph"/>
      </w:pPr>
      <w:r>
        <w:t xml:space="preserve">Six sites were selected across the Leech Water Supply Area which represent five nested catchments and the entire water supply area basin defined from the point of (future) diversion, the Leech Tunnel. These subbasin research sites represent important portions of the Leech River system: two headwater streams (Weeks and Chris Creek), the head of Leech River (below the confluence of the two headwaters), two mainstem rivers that feed the Leech (Cragg Creek and West Leech) and the Leech River at the Tunnel).</w:t>
      </w:r>
    </w:p>
    <w:p>
      <w:pPr>
        <w:pStyle w:val="CaptionedFigure"/>
      </w:pPr>
      <w:r>
        <w:drawing>
          <wp:inline>
            <wp:extent cx="4980432" cy="5504688"/>
            <wp:effectExtent b="0" l="0" r="0" t="0"/>
            <wp:docPr descr="__Figure_Subbasin monitoring sites in the Leech Water Supply Area" title="" id="1" name="Picture"/>
            <a:graphic>
              <a:graphicData uri="http://schemas.openxmlformats.org/drawingml/2006/picture">
                <pic:pic>
                  <pic:nvPicPr>
                    <pic:cNvPr descr="R-inputs_UBC-forWater-MSc_HMc/images/sub-basins.jpg" id="0" name="Picture"/>
                    <pic:cNvPicPr>
                      <a:picLocks noChangeArrowheads="1" noChangeAspect="1"/>
                    </pic:cNvPicPr>
                  </pic:nvPicPr>
                  <pic:blipFill>
                    <a:blip r:embed="rId44"/>
                    <a:stretch>
                      <a:fillRect/>
                    </a:stretch>
                  </pic:blipFill>
                  <pic:spPr bwMode="auto">
                    <a:xfrm>
                      <a:off x="0" y="0"/>
                      <a:ext cx="4980432" cy="5504688"/>
                    </a:xfrm>
                    <a:prstGeom prst="rect">
                      <a:avLst/>
                    </a:prstGeom>
                    <a:noFill/>
                    <a:ln w="9525">
                      <a:noFill/>
                      <a:headEnd/>
                      <a:tailEnd/>
                    </a:ln>
                  </pic:spPr>
                </pic:pic>
              </a:graphicData>
            </a:graphic>
          </wp:inline>
        </w:drawing>
      </w:r>
    </w:p>
    <w:p>
      <w:pPr>
        <w:pStyle w:val="ImageCaption"/>
      </w:pPr>
      <w:r>
        <w:t xml:space="preserve">__Figure_</w:t>
      </w:r>
      <w:r>
        <w:rPr>
          <w:i/>
        </w:rPr>
        <w:t xml:space="preserve">Subbasin monitoring sites in the Leech Water Supply Area</w:t>
      </w:r>
    </w:p>
    <w:p>
      <w:pPr>
        <w:pStyle w:val="BodyText"/>
      </w:pPr>
    </w:p>
    <w:p>
      <w:pPr>
        <w:pStyle w:val="BodyText"/>
      </w:pPr>
    </w:p>
    <w:p>
      <w:pPr>
        <w:pStyle w:val="Heading4"/>
      </w:pPr>
      <w:bookmarkStart w:id="45" w:name="subbasin-sampling-and-installations"/>
      <w:r>
        <w:t xml:space="preserve">2.1.3.1 Subbasin sampling and installations</w:t>
      </w:r>
      <w:bookmarkEnd w:id="45"/>
    </w:p>
    <w:p>
      <w:pPr>
        <w:pStyle w:val="FirstParagraph"/>
      </w:pPr>
      <w:r>
        <w:t xml:space="preserve">At each of the six subbasin research sites, a vertical sampling rack was installed. These racks collect discrete water samples during the rising limb of stormflow without employing costly pump-samplers, while recording continuous stage measurements (at ten minute intervals). Vertical sampling racks supplemented the synoptic sampling program by providing synchronized spatial resolution that would otherwise be difficult to achieve (i.e., multiple sites across the watershed), while collecting samples during flows that would otherwise be difficult or unsafe to access. Simultaneous stormflow sample collection can provide insights about relative hydrologic pulse responses across nested 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The passive sampling bottles employ principles of a siphon design to collect river water as it reaches pre-determined levels on a vertical sampling rack. Siphon sampler bottles were based on a USGS single stage sediment sampler design (US U-59, 1961) which passively collect discrete water samples at a fixed stage on the rising limb of the hydrograph</w:t>
      </w:r>
      <w:r>
        <w:t xml:space="preserve"> </w:t>
      </w:r>
      <w:r>
        <w:t xml:space="preserve">(Graczyk et al.</w:t>
      </w:r>
      <w:r>
        <w:t xml:space="preserve"> </w:t>
      </w:r>
      <w:hyperlink w:anchor="ref-Graczyk2000">
        <w:r>
          <w:rPr>
            <w:rStyle w:val="Hyperlink"/>
          </w:rPr>
          <w:t xml:space="preserve">2000</w:t>
        </w:r>
      </w:hyperlink>
      <w:r>
        <w:t xml:space="preserve">)</w:t>
      </w:r>
      <w:r>
        <w:t xml:space="preserve">.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BodyText"/>
      </w:pPr>
      <w:r>
        <w:t xml:space="preserve"> </w:t>
      </w:r>
      <w:r>
        <w:drawing>
          <wp:inline>
            <wp:extent cx="3474720" cy="6648994"/>
            <wp:effectExtent b="0" l="0" r="0" t="0"/>
            <wp:docPr descr="Figure ###: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46"/>
                    <a:stretch>
                      <a:fillRect/>
                    </a:stretch>
                  </pic:blipFill>
                  <pic:spPr bwMode="auto">
                    <a:xfrm>
                      <a:off x="0" y="0"/>
                      <a:ext cx="3474720" cy="6648994"/>
                    </a:xfrm>
                    <a:prstGeom prst="rect">
                      <a:avLst/>
                    </a:prstGeom>
                    <a:noFill/>
                    <a:ln w="9525">
                      <a:noFill/>
                      <a:headEnd/>
                      <a:tailEnd/>
                    </a:ln>
                  </pic:spPr>
                </pic:pic>
              </a:graphicData>
            </a:graphic>
          </wp:inline>
        </w:drawing>
      </w:r>
      <w:r>
        <w:t xml:space="preserve"> </w:t>
      </w:r>
    </w:p>
    <w:p>
      <w:pPr>
        <w:pStyle w:val="BodyText"/>
      </w:pPr>
      <w:r>
        <w:t xml:space="preserve">Each rack included a central stilling well (3.81cm (1.5</w:t>
      </w:r>
      <w:r>
        <w:t xml:space="preserve">“</w:t>
      </w:r>
      <w:r>
        <w:t xml:space="preserve">) PCV pipe with 1.27 cm (1/2</w:t>
      </w:r>
      <w:r>
        <w:t xml:space="preserve">”</w:t>
      </w:r>
      <w:r>
        <w:t xml:space="preserve">) holes along the length) with a measuring tape affixed to the front. Inside the stilling well was an</w:t>
      </w:r>
      <w:r>
        <w:t xml:space="preserve"> </w:t>
      </w:r>
      <w:hyperlink r:id="rId47">
        <w:r>
          <w:rPr>
            <w:rStyle w:val="Hyperlink"/>
          </w:rPr>
          <w:t xml:space="preserve">Odyssey Capacitance water level logger</w:t>
        </w:r>
      </w:hyperlink>
      <w:r>
        <w:t xml:space="preserve">; and on either side of the central stilling well was a slotted offset angle bar onto which hose clamps held sample bottles fit with custom siphon lids. By combining the height at which each siphon bottle filled with observed stage from the stilling-well tape and Logger data, the date and time for each rising-stage sample collection was determined.</w:t>
      </w:r>
    </w:p>
    <w:p>
      <w:pPr>
        <w:pStyle w:val="BodyText"/>
      </w:pPr>
      <w:r>
        <w:t xml:space="preserve">These vertical racks collected whole water samples on the rising limb of the hydrograph. The rising limb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Increasing DOC on the rising limb indicates that source material is not limited and flux is driven by hydrologic connectivity; whereas source limited conditions likely drive DOM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rack samples clarifies the magnitude and direction of water quality changes in response to precipitation relative,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Heading6"/>
      </w:pPr>
      <w:bookmarkStart w:id="48" w:name="X9615c63c5149846fb419ac5f49bb338728a17ea"/>
      <w:r>
        <w:t xml:space="preserve">2.1.3.1.1 Vertical rack sampling QA/QC: Siphon sampler assumptions</w:t>
      </w:r>
      <w:bookmarkEnd w:id="48"/>
    </w:p>
    <w:p>
      <w:pPr>
        <w:pStyle w:val="FirstParagraph"/>
      </w:pPr>
      <w:r>
        <w:t xml:space="preserve">Rising level siphon samplers collect water from approximately 5cm below the surface (top of intake tube to inlet orifice). Data related to rack samples relies on two key assumptions: the water column is well mixed (no stratification) therefore the sample is representative of water quality at each sampling stage; and the sample is discrete such that there is no infiltration or mixing after the sample is collected. Based on the velocity and turbulence associated with flows in the step-pool formation of the subbasins, the assumption of unstratified waters seems very reasonable. The assumption of sample discretion was validated in lab using food colouring and a flow-through bucket system {tap water sample collected by siphon sample bottle, food colouring added to flow system after sample collection and circulated for ~15 minutes, sample bottle removed from dye chamber and sample colour compared to surrounding dyed water: no dye present in sample).</w:t>
      </w:r>
    </w:p>
    <w:p>
      <w:pPr>
        <w:pStyle w:val="Heading6"/>
      </w:pPr>
      <w:bookmarkStart w:id="49" w:name="Xe230304f074c828928113cae8bc8ee260bba4ea"/>
      <w:r>
        <w:t xml:space="preserve">2.1.3.1.2 Vertical rack sampling QA/QC: Sample hold-times and temperatures</w:t>
      </w:r>
      <w:bookmarkEnd w:id="49"/>
    </w:p>
    <w:p>
      <w:pPr>
        <w:pStyle w:val="FirstParagraph"/>
      </w:pPr>
      <w:r>
        <w:t xml:space="preserve">Every effort was made to retrieve rack samples as quickly as possible from the racks, none the less they sometimes remained on the racks for several days (up to a week). Hobo TidbiT temperature sensors were deployed at each subbasin vertical rack to monitor air and water temperature in order to assess sample stability between sample collection and retrieval.</w:t>
      </w:r>
    </w:p>
    <w:p>
      <w:pPr>
        <w:pStyle w:val="BodyText"/>
      </w:pPr>
      <w:r>
        <w:t xml:space="preserve">To assess sample stability hold-time experiments were performed. The hold-time experiments included replicate (n = 10) sample collection at a site, where half the samples were placed out of water on the vertical rack with siphon lids and the other half were returned to the lab for immediate analysis. Four hold-time experiments were completed such that the rack samples were left in the field for one, two, three, and four weeks before being retrieved and analyzed for comparison to their counterpart replicates.</w:t>
      </w:r>
    </w:p>
    <w:p>
      <w:pPr>
        <w:pStyle w:val="Heading6"/>
      </w:pPr>
      <w:bookmarkStart w:id="50" w:name="X4e3eb70344da6a931ae15671e47b67ae69cdd36"/>
      <w:r>
        <w:t xml:space="preserve">2.1.3.1.3 Prototype for falling limb passive sampling</w:t>
      </w:r>
      <w:bookmarkEnd w:id="50"/>
    </w:p>
    <w:p>
      <w:pPr>
        <w:pStyle w:val="FirstParagraph"/>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Heading3"/>
      </w:pPr>
      <w:bookmarkStart w:id="51" w:name="Xff9c1916dd8d278b07e9d95ebf125bc565f5754"/>
      <w:r>
        <w:t xml:space="preserve">2.1.4 forWater Coordinated Treatability Analyses Sites</w:t>
      </w:r>
      <w:bookmarkEnd w:id="51"/>
    </w:p>
    <w:p>
      <w:pPr>
        <w:pStyle w:val="FirstParagraph"/>
      </w:pPr>
      <w:r>
        <w:t xml:space="preserve">Four of the synoptic sampling sites were selected to collect source water treatability data in collaboration with researchers in the forWater Network. The sites were:</w:t>
      </w:r>
    </w:p>
    <w:p>
      <w:pPr>
        <w:pStyle w:val="SourceCode"/>
      </w:pPr>
      <w:r>
        <w:rPr>
          <w:rStyle w:val="VerbatimChar"/>
        </w:rPr>
        <w:t xml:space="preserve">1. the Leech River at the future point of diversion,    </w:t>
      </w:r>
      <w:r>
        <w:br/>
      </w:r>
      <w:r>
        <w:rPr>
          <w:rStyle w:val="VerbatimChar"/>
        </w:rPr>
        <w:t xml:space="preserve">2. Deception Reservoir</w:t>
      </w:r>
      <w:r>
        <w:br/>
      </w:r>
      <w:r>
        <w:rPr>
          <w:rStyle w:val="VerbatimChar"/>
        </w:rPr>
        <w:t xml:space="preserve">3. Rithet Creek (2nd largest tributary to Sooke Reservoir) </w:t>
      </w:r>
      <w:r>
        <w:br/>
      </w:r>
      <w:r>
        <w:rPr>
          <w:rStyle w:val="VerbatimChar"/>
        </w:rPr>
        <w:t xml:space="preserve">4. Judge Creek (largest tributary to Sooke Reservoir)</w:t>
      </w:r>
    </w:p>
    <w:p>
      <w:pPr>
        <w:pStyle w:val="FirstParagraph"/>
      </w:pPr>
      <w:r>
        <w:t xml:space="preserve">These sites were selected to represent the future supplemental source water, the terminus or future balancing reservoir between Leech and Sooke water supply areas, and the current tributary source waters in the Sooke WSA (respectively).</w:t>
      </w:r>
    </w:p>
    <w:p>
      <w:pPr>
        <w:pStyle w:val="BodyText"/>
      </w:pPr>
      <w:r>
        <w:t xml:space="preserve">Replicate samples were collected November 12, 2019 and January 18, 2020 and were shipped to the Universities of Alberta and Waterloo for treatability analyses.</w:t>
      </w:r>
      <w:r>
        <w:t xml:space="preserve"> </w:t>
      </w:r>
      <w:r>
        <w:t xml:space="preserve">At the University of Waterloo, samples were analyzed for treatability parameters including: maximum potential disinfection byproduct formation potential (for trihalomethanes and haloacetic acids, (μg/L)), pH, UV</w:t>
      </w:r>
      <w:r>
        <w:rPr>
          <w:vertAlign w:val="subscript"/>
        </w:rPr>
        <w:t xml:space="preserve">254</w:t>
      </w:r>
      <w:r>
        <w:t xml:space="preserve">(cm</w:t>
      </w:r>
      <w:r>
        <w:rPr>
          <w:vertAlign w:val="superscript"/>
        </w:rPr>
        <w:t xml:space="preserve">-1</w:t>
      </w:r>
      <w:r>
        <w:t xml:space="preserve">), DOC (mg/L), Turbidity (NTU), Zeta Potential (mV), THM-FP(μg/L), HAA-FP (μg/L). 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Heading2"/>
      </w:pPr>
      <w:bookmarkStart w:id="52" w:name="analytical-techniques-data"/>
      <w:r>
        <w:t xml:space="preserve">2.2 Analytical techniques &amp; data</w:t>
      </w:r>
      <w:bookmarkEnd w:id="52"/>
    </w:p>
    <w:p>
      <w:pPr>
        <w:pStyle w:val="FirstParagraph"/>
      </w:pPr>
      <w:r>
        <w:t xml:space="preserve">Water samples were collected and transported via coolers (on ice) to UBC’s EcoHydrology Lab for analysis of dissolved organic carbon (DOC) concentrations and indicators of NOM character. Samples were also measured for phosphate concentration using a colourmetric (ascorbic acid) orthophosphate test kit (HACH PO-19); each sample had phosphate concentrations below detectable limits (0.1 mg/L). All data were analyzed with R (3.6.2) using RStudio IDE (Version 1.3.820).</w:t>
      </w:r>
    </w:p>
    <w:p>
      <w:pPr>
        <w:pStyle w:val="Heading3"/>
      </w:pPr>
      <w:bookmarkStart w:id="53" w:name="Xb630206f94eb7a6759972938c273ff8eaba2c81"/>
      <w:r>
        <w:t xml:space="preserve">2.2.1 Quantifying dissolved organic carbon (DOC, as NPOC)</w:t>
      </w:r>
      <w:bookmarkEnd w:id="53"/>
    </w:p>
    <w:p>
      <w:pPr>
        <w:pStyle w:val="FirstParagraph"/>
      </w:pPr>
      <w:r>
        <w:t xml:space="preserve">For quantification of DOC, samples were analyzed for non-purgeable organic carbon (NPOC) via High-Temperature Combustion (Method 5310-B) on a Shimadzu TOC-V</w:t>
      </w:r>
      <w:r>
        <w:t xml:space="preserve"> </w:t>
      </w:r>
      <w:r>
        <w:t xml:space="preserve">(Eaton, A. D., Clesceri, L. S., Greenberg, A. E., Franson</w:t>
      </w:r>
      <w:r>
        <w:t xml:space="preserve"> </w:t>
      </w:r>
      <w:hyperlink w:anchor="ref-StdMet2000">
        <w:r>
          <w:rPr>
            <w:rStyle w:val="Hyperlink"/>
          </w:rPr>
          <w:t xml:space="preserve">2000</w:t>
        </w:r>
      </w:hyperlink>
      <w:r>
        <w:t xml:space="preserve">)</w:t>
      </w:r>
      <w:r>
        <w:t xml:space="preserve">. For this method, samples were filtered with 0.45-micron PES filters, acidified to bring pH below 2, then sparged with hydrocarbon-free air to drive off inorganic carbon. Following sparging, samples were combusted to convert all organic carbon to carbon dioxide which was measured by non-dispersive infrared gas detector to quantify the DOC content of the sample. This method represents a direct measure of DOC; although small volatile organic compounds would be removed in the sparging process, most NOM compounds are of higher molecular weight and it is unlikely that NOM analytes would be lost</w:t>
      </w:r>
      <w:r>
        <w:t xml:space="preserve"> </w:t>
      </w:r>
      <w:r>
        <w:t xml:space="preserve">(Eaton, A. D., Clesceri, L. S., Greenberg, A. E., Franson</w:t>
      </w:r>
      <w:r>
        <w:t xml:space="preserve"> </w:t>
      </w:r>
      <w:hyperlink w:anchor="ref-StdMet2000">
        <w:r>
          <w:rPr>
            <w:rStyle w:val="Hyperlink"/>
          </w:rPr>
          <w:t xml:space="preserve">2000</w:t>
        </w:r>
      </w:hyperlink>
      <w:r>
        <w:t xml:space="preserve">; Matilainen et al.</w:t>
      </w:r>
      <w:r>
        <w:t xml:space="preserve"> </w:t>
      </w:r>
      <w:hyperlink w:anchor="ref-Matilainen2011">
        <w:r>
          <w:rPr>
            <w:rStyle w:val="Hyperlink"/>
          </w:rPr>
          <w:t xml:space="preserve">2011</w:t>
        </w:r>
      </w:hyperlink>
      <w:r>
        <w:t xml:space="preserve">)</w:t>
      </w:r>
      <w:r>
        <w:t xml:space="preserve">.</w:t>
      </w:r>
    </w:p>
    <w:p>
      <w:pPr>
        <w:pStyle w:val="Heading3"/>
      </w:pPr>
      <w:bookmarkStart w:id="54" w:name="Xea9a419b4818086e32a635ac9fa4c094692859d"/>
      <w:r>
        <w:t xml:space="preserve">2.2.2 Qualifying organic matter through spectrophotometry</w:t>
      </w:r>
      <w:bookmarkEnd w:id="54"/>
    </w:p>
    <w:p>
      <w:pPr>
        <w:pStyle w:val="Heading4"/>
      </w:pPr>
      <w:bookmarkStart w:id="55" w:name="proxy-doc"/>
      <w:r>
        <w:t xml:space="preserve">2.2.2.1 Proxy DOC</w:t>
      </w:r>
      <w:bookmarkEnd w:id="55"/>
    </w:p>
    <w:p>
      <w:pPr>
        <w:pStyle w:val="FirstParagraph"/>
      </w:pPr>
      <w:r>
        <w:t xml:space="preserve">Spectral properties of sample NOM were analyzed using a</w:t>
      </w:r>
      <w:r>
        <w:t xml:space="preserve"> </w:t>
      </w:r>
      <w:r>
        <w:t xml:space="preserve">‘</w:t>
      </w:r>
      <w:r>
        <w:t xml:space="preserve">spectro::lyser</w:t>
      </w:r>
      <w:r>
        <w:t xml:space="preserve">’</w:t>
      </w:r>
      <w:r>
        <w:t xml:space="preserve"> </w:t>
      </w:r>
      <w:r>
        <w:t xml:space="preserve">spectrophotometer (s::can, Vienna, Austria) which measures turbidity and the chromophoric portion of organic matter to estimate concentrations of total organic carbon (TOC), dissolved organic carbon (DOC), as well as nitrate-nitrogen (NO</w:t>
      </w:r>
      <w:r>
        <w:rPr>
          <w:vertAlign w:val="subscript"/>
        </w:rPr>
        <w:t xml:space="preserve">3</w:t>
      </w:r>
      <w:r>
        <w:rPr>
          <w:vertAlign w:val="superscript"/>
        </w:rPr>
        <w:t xml:space="preserve">-</w:t>
      </w:r>
      <w:r>
        <w:t xml:space="preserve">-N). For NOM to be detected by UV-Vis absorption, the molecules must absorb ultraviolet (UV) or visible (Vis) light, which relies on the electronic structure of the molecules. UV-Vis absorption requires the presence of conjugated pi-bond systems (i.e., chromophore) in the molecule, which are common in aromatic systems. Therefore, DOC quantified by the spectro::lyser is a proxy measure that represents the chromophoric component of DOM (CDOM), which is proportional to the samples’ average aromaticity. The suite of molecules that comprise NOM generally have an aromatic character</w:t>
      </w:r>
      <w:r>
        <w:t xml:space="preserve"> </w:t>
      </w:r>
      <w:r>
        <w:t xml:space="preserve">(Weishaar et al.</w:t>
      </w:r>
      <w:r>
        <w:t xml:space="preserve"> </w:t>
      </w:r>
      <w:hyperlink w:anchor="ref-Weishaar2003">
        <w:r>
          <w:rPr>
            <w:rStyle w:val="Hyperlink"/>
          </w:rPr>
          <w:t xml:space="preserve">2003</w:t>
        </w:r>
      </w:hyperlink>
      <w:r>
        <w:t xml:space="preserve">)</w:t>
      </w:r>
      <w:r>
        <w:t xml:space="preserve">. Increasing aromaticity will lead to greater absorbance at longer wavelengths, therefore an absorbance spectrum can provide information about a samples molecular character. For example, absorption of near-UV wavelengths (i.e., 200-380 nm) is indicative of conjugated systems that are common to aromatic compounds; as such, specific UV absorbance at 254nm (SUVA</w:t>
      </w:r>
      <w:r>
        <w:rPr>
          <w:vertAlign w:val="subscript"/>
        </w:rPr>
        <w:t xml:space="preserve">254</w:t>
      </w:r>
      <w:r>
        <w:t xml:space="preserve">) has been adopted as a surrogate for DOM aromaticity and, to some extent, its reactivity</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The spectro::lyser measures absorbance from 200 nm to 750 nm wavelengths, across which several spectral indicies can be calculated.</w:t>
      </w:r>
    </w:p>
    <w:p>
      <w:pPr>
        <w:pStyle w:val="Heading4"/>
      </w:pPr>
      <w:bookmarkStart w:id="56" w:name="quality-control-note"/>
      <w:r>
        <w:t xml:space="preserve">2.2.2.1.1 Quality control note</w:t>
      </w:r>
      <w:bookmarkEnd w:id="56"/>
    </w:p>
    <w:p>
      <w:pPr>
        <w:pStyle w:val="FirstParagraph"/>
      </w:pPr>
      <w:r>
        <w:t xml:space="preserve">The spectro::lyser has been shown to effectively determine DOC content and character on unfiltered samples</w:t>
      </w:r>
      <w:r>
        <w:t xml:space="preserve"> </w:t>
      </w:r>
      <w:r>
        <w:t xml:space="preserve">(Avagyan, Runkle, and Kutzbach</w:t>
      </w:r>
      <w:r>
        <w:t xml:space="preserve"> </w:t>
      </w:r>
      <w:hyperlink w:anchor="ref-Avagyan2014">
        <w:r>
          <w:rPr>
            <w:rStyle w:val="Hyperlink"/>
          </w:rPr>
          <w:t xml:space="preserve">2014</w:t>
        </w:r>
      </w:hyperlink>
      <w:r>
        <w:t xml:space="preserve">)</w:t>
      </w:r>
      <w:r>
        <w:t xml:space="preserve">. However, suspended matter may bias absorbance values due to non-DOC light absorption or scattering. Therefore, spectral indices were not calculated for several unfiltered water samples that had detectable turbidity (greater than 0.000 FTU); this reduced the spectral dataset by 9.5%, from 347 to 314 spectral samples.</w:t>
      </w:r>
    </w:p>
    <w:p>
      <w:pPr>
        <w:pStyle w:val="Heading4"/>
      </w:pPr>
      <w:bookmarkStart w:id="57" w:name="suva254"/>
      <w:r>
        <w:t xml:space="preserve">2.2.2.2 SUVA</w:t>
      </w:r>
      <w:r>
        <w:rPr>
          <w:vertAlign w:val="subscript"/>
        </w:rPr>
        <w:t xml:space="preserve">254</w:t>
      </w:r>
      <w:bookmarkEnd w:id="57"/>
    </w:p>
    <w:p>
      <w:pPr>
        <w:pStyle w:val="FirstParagraph"/>
      </w:pPr>
      <w:r>
        <w:t xml:space="preserve">Specific ultraviolet absorbance at 254nm (SUVA</w:t>
      </w:r>
      <w:r>
        <w:rPr>
          <w:vertAlign w:val="subscript"/>
        </w:rPr>
        <w:t xml:space="preserve">254</w:t>
      </w:r>
      <w:r>
        <w:t xml:space="preserve">) is the ratio of UV absorption (spectral absorbance coefficient, SAC, m</w:t>
      </w:r>
      <w:r>
        <w:rPr>
          <w:vertAlign w:val="superscript"/>
        </w:rPr>
        <w:t xml:space="preserve">-1</w:t>
      </w:r>
      <w:r>
        <w:t xml:space="preserve">) at 254nm wavelength, normalized to DOC concentration (mgL</w:t>
      </w:r>
      <w:r>
        <w:rPr>
          <w:vertAlign w:val="superscript"/>
        </w:rPr>
        <w:t xml:space="preserve">-1</w:t>
      </w:r>
      <w:r>
        <w:t xml:space="preserve">) (i.e., SAC</w:t>
      </w:r>
      <w:r>
        <w:rPr>
          <w:vertAlign w:val="subscript"/>
        </w:rPr>
        <w:t xml:space="preserve">254</w:t>
      </w:r>
      <w:r>
        <w:t xml:space="preserve"> </w:t>
      </w:r>
      <w:r>
        <w:t xml:space="preserve">divided by mgL</w:t>
      </w:r>
      <w:r>
        <w:rPr>
          <w:vertAlign w:val="superscript"/>
        </w:rPr>
        <w:t xml:space="preserve">-1</w:t>
      </w:r>
      <w:r>
        <w:t xml:space="preserve">-DOC)</w:t>
      </w:r>
      <w:r>
        <w:t xml:space="preserve"> </w:t>
      </w:r>
      <w:r>
        <w:t xml:space="preserve">(Weishaar et al.</w:t>
      </w:r>
      <w:r>
        <w:t xml:space="preserve"> </w:t>
      </w:r>
      <w:hyperlink w:anchor="ref-Weishaar2003">
        <w:r>
          <w:rPr>
            <w:rStyle w:val="Hyperlink"/>
          </w:rPr>
          <w:t xml:space="preserve">2003</w:t>
        </w:r>
      </w:hyperlink>
      <w:r>
        <w:t xml:space="preserve">)</w:t>
      </w:r>
      <w:r>
        <w:t xml:space="preserve">. SUVA</w:t>
      </w:r>
      <w:r>
        <w:rPr>
          <w:vertAlign w:val="subscript"/>
        </w:rPr>
        <w:t xml:space="preserve">254</w:t>
      </w:r>
      <w:r>
        <w:t xml:space="preserve"> </w:t>
      </w:r>
      <w:r>
        <w:t xml:space="preserve">correlates strongly with DOM aromaticity, and loosely with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 A higher SUVA value indicates greater aromaticity, and a lower SUVA value indicates more alliphatic DOM. Because humic substances are more aromatic, SUVA</w:t>
      </w:r>
      <w:r>
        <w:rPr>
          <w:vertAlign w:val="subscript"/>
        </w:rPr>
        <w:t xml:space="preserve">254</w:t>
      </w:r>
      <w:r>
        <w:t xml:space="preserve"> </w:t>
      </w:r>
      <w:r>
        <w:t xml:space="preserve">is a good indicator of DOM from humic sources (i.e., allochthonous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(e.g., alliphatics), which have negligible absorptivities in the UV-Vis range, may contribute to DBPs but not SUVA</w:t>
      </w:r>
      <w:r>
        <w:rPr>
          <w:vertAlign w:val="subscript"/>
        </w:rPr>
        <w:t xml:space="preserve">254</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w:t>
      </w:r>
    </w:p>
    <w:p>
      <w:pPr>
        <w:pStyle w:val="BodyText"/>
      </w:pPr>
      <w:r>
        <w:t xml:space="preserve">SUVA</w:t>
      </w:r>
      <w:r>
        <w:rPr>
          <w:vertAlign w:val="subscript"/>
        </w:rPr>
        <w:t xml:space="preserve">254</w:t>
      </w:r>
      <w:r>
        <w:t xml:space="preserve"> </w:t>
      </w:r>
      <w:r>
        <w:t xml:space="preserve">is reported in units of liter per milligram carbon per meter (Lmg-C</w:t>
      </w:r>
      <w:r>
        <w:rPr>
          <w:vertAlign w:val="superscript"/>
        </w:rPr>
        <w:t xml:space="preserve">-1</w:t>
      </w:r>
      <w:r>
        <w:t xml:space="preserve">m</w:t>
      </w:r>
      <w:r>
        <w:rPr>
          <w:vertAlign w:val="superscript"/>
        </w:rPr>
        <w:t xml:space="preserve">-1</w:t>
      </w:r>
      <w:r>
        <w:t xml:space="preserve">) and was determined by dividing the UV absorbance measured at wavelength 254 nm by the DOC concentration (from NPOC on the Shimadzu TOC-V).</w:t>
      </w:r>
    </w:p>
    <w:p>
      <w:pPr>
        <w:pStyle w:val="Heading4"/>
      </w:pPr>
      <w:bookmarkStart w:id="58" w:name="spectral-indices-of-nom-character"/>
      <w:r>
        <w:t xml:space="preserve">2.2.2.3 spectral indices of NOM character</w:t>
      </w:r>
      <w:bookmarkEnd w:id="58"/>
    </w:p>
    <w:p>
      <w:pPr>
        <w:pStyle w:val="FirstParagraph"/>
      </w:pPr>
      <w:r>
        <w:t xml:space="preserve">Based on full scan data from the Spectrolyser (250-700nm), several indices of NOM character were determined. In the absence of fluorescence excitation-emission matrices, or high resolution spectrometric methods, spectral slopes are a simple tool for getting at molecule character. Spectral slopes (i.e., the change in absorbance intensity over a range of wavelengths) are semi-quantitative indicators for assessing DOM molecular weights</w:t>
      </w:r>
      <w:r>
        <w:t xml:space="preserve"> </w:t>
      </w:r>
      <w:r>
        <w:t xml:space="preserve">(Helms et al.</w:t>
      </w:r>
      <w:r>
        <w:t xml:space="preserve"> </w:t>
      </w:r>
      <w:hyperlink w:anchor="ref-Helms2008">
        <w:r>
          <w:rPr>
            <w:rStyle w:val="Hyperlink"/>
          </w:rPr>
          <w:t xml:space="preserve">2008</w:t>
        </w:r>
      </w:hyperlink>
      <w:r>
        <w:t xml:space="preserve">)</w:t>
      </w:r>
      <w:r>
        <w:t xml:space="preserve">. Spectral slopes over the wavelength range of 275-295 nm (S</w:t>
      </w:r>
      <w:r>
        <w:rPr>
          <w:vertAlign w:val="subscript"/>
        </w:rPr>
        <w:t xml:space="preserve">275-295</w:t>
      </w:r>
      <w:r>
        <w:t xml:space="preserve">, likely range for absorption by poly-aromatic hydrocarbons with 2 or more rings) and 350-400 nm (S</w:t>
      </w:r>
      <w:r>
        <w:rPr>
          <w:vertAlign w:val="subscript"/>
        </w:rPr>
        <w:t xml:space="preserve">350-400</w:t>
      </w:r>
      <w:r>
        <w:t xml:space="preserve">) were calculated from linear regression of log</w:t>
      </w:r>
      <w:r>
        <w:rPr>
          <w:vertAlign w:val="subscript"/>
        </w:rPr>
        <w:t xml:space="preserve">e</w:t>
      </w:r>
      <w:r>
        <w:t xml:space="preserve">-transformed spectra (spectral absorbance coefficients, m</w:t>
      </w:r>
      <w:r>
        <w:rPr>
          <w:vertAlign w:val="superscript"/>
        </w:rPr>
        <w:t xml:space="preserve">-1</w:t>
      </w:r>
      <w:r>
        <w:t xml:space="preserve">) as indicated by Helms</w:t>
      </w:r>
      <w:r>
        <w:t xml:space="preserve"> </w:t>
      </w:r>
      <w:r>
        <w:t xml:space="preserve">(</w:t>
      </w:r>
      <w:hyperlink w:anchor="ref-Helms2008">
        <w:r>
          <w:rPr>
            <w:rStyle w:val="Hyperlink"/>
          </w:rPr>
          <w:t xml:space="preserve">2008</w:t>
        </w:r>
      </w:hyperlink>
      <w:r>
        <w:t xml:space="preserve">, p 958)</w:t>
      </w:r>
      <w:r>
        <w:t xml:space="preserve">. Slope ratio (S</w:t>
      </w:r>
      <w:r>
        <w:rPr>
          <w:vertAlign w:val="subscript"/>
        </w:rPr>
        <w:t xml:space="preserve">R</w:t>
      </w:r>
      <w:r>
        <w:t xml:space="preserve">) is a unitless value equal to the slope of spectral intensity over the wavelength range of 275-295 nm relative to the slope of spectral intensity over 350-400 nm. S</w:t>
      </w:r>
      <w:r>
        <w:rPr>
          <w:vertAlign w:val="subscript"/>
        </w:rPr>
        <w:t xml:space="preserve">R</w:t>
      </w:r>
      <w:r>
        <w:t xml:space="preserve"> </w:t>
      </w:r>
      <w:r>
        <w:t xml:space="preserve">is inversely proportional to CDOM molecular weight</w:t>
      </w:r>
      <w:r>
        <w:t xml:space="preserve"> </w:t>
      </w:r>
      <w:r>
        <w:t xml:space="preserve">(Helms et al.</w:t>
      </w:r>
      <w:r>
        <w:t xml:space="preserve"> </w:t>
      </w:r>
      <w:hyperlink w:anchor="ref-Helms2008">
        <w:r>
          <w:rPr>
            <w:rStyle w:val="Hyperlink"/>
          </w:rPr>
          <w:t xml:space="preserve">2008</w:t>
        </w:r>
      </w:hyperlink>
      <w:r>
        <w:t xml:space="preserve">)</w:t>
      </w:r>
      <w:r>
        <w:t xml:space="preserve">.</w:t>
      </w:r>
      <w:r>
        <w:br/>
      </w:r>
      <w:r>
        <w:t xml:space="preserve">The ratio of absorbances at wavelengths 250 nm and 365 nm provides a quotient called E</w:t>
      </w:r>
      <w:r>
        <w:rPr>
          <w:vertAlign w:val="subscript"/>
        </w:rPr>
        <w:t xml:space="preserve">2</w:t>
      </w:r>
      <w:r>
        <w:t xml:space="preserve">:E</w:t>
      </w:r>
      <w:r>
        <w:rPr>
          <w:vertAlign w:val="subscript"/>
        </w:rPr>
        <w:t xml:space="preserve">3</w:t>
      </w:r>
      <w:r>
        <w:t xml:space="preserve"> </w:t>
      </w:r>
      <w:r>
        <w:t xml:space="preserve">which is inversely related to aromaticity and molecular size of aquatic humic solutes</w:t>
      </w:r>
      <w:r>
        <w:t xml:space="preserve"> </w:t>
      </w:r>
      <w:r>
        <w:t xml:space="preserve">(</w:t>
      </w:r>
      <w:r>
        <w:rPr>
          <w:b/>
        </w:rPr>
        <w:t xml:space="preserve">???</w:t>
      </w:r>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values were calculated, along with S</w:t>
      </w:r>
      <w:r>
        <w:rPr>
          <w:vertAlign w:val="subscript"/>
        </w:rPr>
        <w:t xml:space="preserve">R</w:t>
      </w:r>
      <w:r>
        <w:t xml:space="preserve"> </w:t>
      </w:r>
      <w:r>
        <w:t xml:space="preserve">, to try to elucidate molecular character of DOM in samples.</w:t>
      </w:r>
    </w:p>
    <w:p>
      <w:pPr>
        <w:pStyle w:val="Heading3"/>
      </w:pPr>
      <w:bookmarkStart w:id="59" w:name="Xcc08ec80943ac2e4b045ef0d627856fbbc0f249"/>
      <w:r>
        <w:t xml:space="preserve">2.2.3 Sampling for Metals &amp; CRD Analytical Results</w:t>
      </w:r>
      <w:bookmarkEnd w:id="5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in Sidney, BC (BL Labs, formerly Maxxam Analytics Inc.). For each metals sample collected, a parallel Grab sample was analyzed for DOC (at UBC). Reports from BL Labs were provided by the CRD for the samples collected in association with this research. Reports were pdf format which was exported to Excel and converted to .csv for analysis in R.</w:t>
      </w:r>
    </w:p>
    <w:p>
      <w:pPr>
        <w:pStyle w:val="Heading1"/>
      </w:pPr>
      <w:bookmarkStart w:id="60" w:name="data-results-visualization-summaries"/>
      <w:r>
        <w:t xml:space="preserve">Data &amp; Results (visualization &amp; summaries)</w:t>
      </w:r>
      <w:bookmarkEnd w:id="60"/>
    </w:p>
    <w:p>
      <w:pPr>
        <w:pStyle w:val="Heading1"/>
      </w:pPr>
      <w:bookmarkStart w:id="61" w:name="discussion"/>
      <w:r>
        <w:t xml:space="preserve">Discussion</w:t>
      </w:r>
      <w:bookmarkEnd w:id="61"/>
    </w:p>
    <w:p>
      <w:pPr>
        <w:pStyle w:val="FirstParagraph"/>
      </w:pPr>
      <w:r>
        <w:t xml:space="preserve">Here is a research chapter. Look a graph in Figure</w:t>
      </w:r>
      <w:r>
        <w:t xml:space="preserve"> </w:t>
      </w:r>
      <w:r>
        <w:t xml:space="preserve">??</w:t>
      </w:r>
      <w:r>
        <w:t xml:space="preserve">.</w:t>
      </w:r>
    </w:p>
    <w:p>
      <w:pPr>
        <w:pStyle w:val="BodyText"/>
      </w:pPr>
      <w:r>
        <w:t xml:space="preserve">Also check out the associated data in Table</w:t>
      </w:r>
      <w:r>
        <w:t xml:space="preserve"> </w:t>
      </w:r>
      <w:r>
        <w:t xml:space="preserve">??</w:t>
      </w:r>
      <w:r>
        <w:t xml:space="preserve">.</w:t>
      </w:r>
    </w:p>
    <w:p>
      <w:pPr>
        <w:pStyle w:val="Heading1"/>
      </w:pPr>
      <w:bookmarkStart w:id="62" w:name="conclusions"/>
      <w:r>
        <w:t xml:space="preserve">Conclusions</w:t>
      </w:r>
      <w:bookmarkEnd w:id="62"/>
    </w:p>
    <w:p>
      <w:pPr>
        <w:pStyle w:val="FirstParagraph"/>
      </w:pPr>
      <w:r>
        <w:t xml:space="preserve">I did several things and will now discuss why they are good.</w:t>
      </w:r>
    </w:p>
    <w:p>
      <w:pPr>
        <w:pStyle w:val="Heading1"/>
      </w:pPr>
      <w:bookmarkStart w:id="63" w:name="references"/>
      <w:r>
        <w:t xml:space="preserve">References</w:t>
      </w:r>
      <w:bookmarkEnd w:id="63"/>
    </w:p>
    <w:p>
      <w:pPr>
        <w:pStyle w:val="Heading1"/>
      </w:pPr>
      <w:bookmarkStart w:id="64" w:name="appendix-a"/>
      <w:r>
        <w:t xml:space="preserve">Appendix A</w:t>
      </w:r>
      <w:bookmarkEnd w:id="64"/>
    </w:p>
    <w:p>
      <w:pPr>
        <w:pStyle w:val="Heading2"/>
      </w:pPr>
      <w:bookmarkStart w:id="65" w:name="X354d90a37f09cb15ddc26096af31051f31c174e"/>
      <w:r>
        <w:t xml:space="preserve">A-1 Greater Victoria Regional Water Supply System</w:t>
      </w:r>
      <w:bookmarkEnd w:id="65"/>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lockText"/>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w:t>
      </w:r>
      <w:r>
        <w:t xml:space="preserve"> </w:t>
      </w:r>
      <w:r>
        <w:t xml:space="preserve">~</w:t>
      </w:r>
      <w:r>
        <w:t xml:space="preserve">(CRD</w:t>
      </w:r>
      <w:r>
        <w:t xml:space="preserve"> </w:t>
      </w:r>
      <w:hyperlink w:anchor="ref-CapitalRegionDistrict2017">
        <w:r>
          <w:rPr>
            <w:rStyle w:val="Hyperlink"/>
          </w:rPr>
          <w:t xml:space="preserve">2017</w:t>
        </w:r>
      </w:hyperlink>
      <w:r>
        <w:t xml:space="preserve">)</w:t>
      </w:r>
    </w:p>
    <w:p>
      <w:pPr>
        <w:pStyle w:val="Heading2"/>
      </w:pPr>
      <w:bookmarkStart w:id="66" w:name="a-2-leech-river-watershed-site-details"/>
      <w:r>
        <w:t xml:space="preserve">A-2 Leech River Watershed Site Details</w:t>
      </w:r>
      <w:bookmarkEnd w:id="66"/>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Heading3"/>
      </w:pPr>
      <w:bookmarkStart w:id="67" w:name="a-2.1-sub-basin-sites"/>
      <w:r>
        <w:t xml:space="preserve">A-2.1 Sub-basin Sites</w:t>
      </w:r>
      <w:bookmarkEnd w:id="67"/>
    </w:p>
    <w:p>
      <w:pPr>
        <w:pStyle w:val="FirstParagraph"/>
      </w:pPr>
      <w:r>
        <w:t xml:space="preserve">Six sites were selected across the Leech Water Supply Area. The six research sites represent five nested catchments and the entire water supply area basin defined from the point of (future) diversion, the Leech Tunnel.</w:t>
      </w:r>
    </w:p>
    <w:p>
      <w:pPr>
        <w:pStyle w:val="Heading4"/>
      </w:pPr>
      <w:bookmarkStart w:id="68" w:name="a-2.1.1-weeks-outlet"/>
      <w:r>
        <w:t xml:space="preserve">A-2.1.1 Weeks Outlet</w:t>
      </w:r>
      <w:bookmarkEnd w:id="68"/>
    </w:p>
    <w:p>
      <w:pPr>
        <w:pStyle w:val="FirstParagraph"/>
      </w:pPr>
      <w:r>
        <w:t xml:space="preserve">The Weeks Outlet research site monitors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 Outlet</w:t>
      </w:r>
      <w:r>
        <w:t xml:space="preserve">”</w:t>
      </w:r>
      <w:r>
        <w:t xml:space="preserve">, which is a third order stream (Strahler) of the western headwaters of Leech River. The channel is fairly straight and bed material is primarily silt/clay. The water at this site was noteabley tannin-coloured. This research site was located about 0.4 km west (upstream) of the confluence with Chris Creek.</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pPr>
        <w:pStyle w:val="SourceCode"/>
      </w:pPr>
      <w:r>
        <w:rPr>
          <w:rStyle w:val="VerbatimChar"/>
        </w:rPr>
        <w:t xml:space="preserve">![](R-inputs_UBC-forWater-MSc_HMc/images/XXXXX.jpg){width=50%} ![](R-inputs_UBC-forWater-MSc_HMc/images/YYYY.jpg){width=50%}</w:t>
      </w:r>
    </w:p>
    <w:p>
      <w:pPr>
        <w:pStyle w:val="Heading4"/>
      </w:pPr>
      <w:bookmarkStart w:id="69" w:name="a-2.1.1.2-chris-creek"/>
      <w:r>
        <w:t xml:space="preserve">A-2.1.1.2 Chris Creek</w:t>
      </w:r>
      <w:bookmarkEnd w:id="69"/>
    </w:p>
    <w:p>
      <w:pPr>
        <w:pStyle w:val="FirstParagraph"/>
      </w:pPr>
      <w:r>
        <w:t xml:space="preserve">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pPr>
        <w:pStyle w:val="SourceCode"/>
      </w:pPr>
      <w:r>
        <w:rPr>
          <w:rStyle w:val="VerbatimChar"/>
        </w:rPr>
        <w:t xml:space="preserve">![](R-inputs_UBC-forWater-MSc_HMc/images/XXXXX.jpg){width=50%} ![](R-inputs_UBC-forWater-MSc_HMc/images/YYYY.jpg){width=50%}</w:t>
      </w:r>
    </w:p>
    <w:p>
      <w:pPr>
        <w:pStyle w:val="Heading4"/>
      </w:pPr>
      <w:bookmarkStart w:id="70" w:name="a-2.1.1.3-leech-head"/>
      <w:r>
        <w:t xml:space="preserve">A-2.1.1.3 Leech Head</w:t>
      </w:r>
      <w:bookmarkEnd w:id="70"/>
    </w:p>
    <w:p>
      <w:pPr>
        <w:pStyle w:val="FirstParagraph"/>
      </w:pPr>
      <w:r>
        <w:t xml:space="preserve">Research site 3 was approxiamtely 1.4 km downstream of the confluence of Weeks Outlet stream and Chris Creek. The</w:t>
      </w:r>
      <w:r>
        <w:t xml:space="preserve"> </w:t>
      </w:r>
      <w:r>
        <w:t xml:space="preserve">“</w:t>
      </w:r>
      <w:r>
        <w:t xml:space="preserve">Leech Head</w:t>
      </w:r>
      <w:r>
        <w:t xml:space="preserve">”</w:t>
      </w:r>
      <w:r>
        <w:t xml:space="preserve"> </w:t>
      </w:r>
      <w:r>
        <w:t xml:space="preserve">study site was in a deep pool between riffles, it’s a 4th order stream with predominantly Schist bedrock and fairly low relief (~2%) and relatively straight morphology. The water at this site was often coloured by tannins (likely from the Weeks outlet stream contributions). There once was a logging bridge across the river at this site, and some rip-rap remains on either bank.</w:t>
      </w:r>
    </w:p>
    <w:p>
      <w:pPr>
        <w:pStyle w:val="BodyText"/>
      </w:pPr>
      <w:r>
        <w:drawing>
          <wp:inline>
            <wp:extent cx="5943600" cy="2971800"/>
            <wp:effectExtent b="0" l="0" r="0" t="0"/>
            <wp:docPr descr="" title="" id="1" name="Picture"/>
            <a:graphic>
              <a:graphicData uri="http://schemas.openxmlformats.org/drawingml/2006/picture">
                <pic:pic>
                  <pic:nvPicPr>
                    <pic:cNvPr descr="R-inputs_UBC-forWater-MSc_HMc/images/LeechHead_lowflow_201908.jpg" id="0" name="Picture"/>
                    <pic:cNvPicPr>
                      <a:picLocks noChangeArrowheads="1" noChangeAspect="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Heading4"/>
      </w:pPr>
      <w:bookmarkStart w:id="72" w:name="a-2.1.1.4-cragg-creek"/>
      <w:r>
        <w:t xml:space="preserve">A-2.1.1.4 Cragg Creek</w:t>
      </w:r>
      <w:bookmarkEnd w:id="72"/>
    </w:p>
    <w:p>
      <w:pPr>
        <w:pStyle w:val="FirstParagraph"/>
      </w:pPr>
      <w:r>
        <w:t xml:space="preserve">Cragg Creek is a mainstem river that originates in the northeast of the Leech River watershed. Cragg Creek is a 4th order stream and this research site location has a drainage area of approximately 37 km</w:t>
      </w:r>
      <w:r>
        <w:rPr>
          <w:vertAlign w:val="superscript"/>
        </w:rPr>
        <w:t xml:space="preserve">2</w:t>
      </w:r>
      <w:r>
        <w:t xml:space="preserve">,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pPr>
        <w:pStyle w:val="CaptionedFigure"/>
      </w:pPr>
      <w:r>
        <w:drawing>
          <wp:inline>
            <wp:extent cx="5943600" cy="4457700"/>
            <wp:effectExtent b="0" l="0" r="0" t="0"/>
            <wp:docPr descr="Cragg Creek downstream(left) and upstream (right) of bridge" title="" id="1" name="Picture"/>
            <a:graphic>
              <a:graphicData uri="http://schemas.openxmlformats.org/drawingml/2006/picture">
                <pic:pic>
                  <pic:nvPicPr>
                    <pic:cNvPr descr="R-inputs_UBC-forWater-MSc_HMc/images/Cragg_downstream_20190410.jpg" id="0" name="Picture"/>
                    <pic:cNvPicPr>
                      <a:picLocks noChangeArrowheads="1" noChangeAspect="1"/>
                    </pic:cNvPicPr>
                  </pic:nvPicPr>
                  <pic:blipFill>
                    <a:blip r:embed="rId7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Cragg Creek downstream(left) and upstream (right) of bridge</w:t>
      </w:r>
    </w:p>
    <w:p>
      <w:pPr>
        <w:pStyle w:val="BodyText"/>
      </w:pPr>
      <w:r>
        <w:drawing>
          <wp:inline>
            <wp:extent cx="5943600" cy="4457700"/>
            <wp:effectExtent b="0" l="0" r="0" t="0"/>
            <wp:docPr descr="" title="" id="1" name="Picture"/>
            <a:graphic>
              <a:graphicData uri="http://schemas.openxmlformats.org/drawingml/2006/picture">
                <pic:pic>
                  <pic:nvPicPr>
                    <pic:cNvPr descr="R-inputs_UBC-forWater-MSc_HMc/images/Cragg_upstream_20190410.jpg" id="0" name="Picture"/>
                    <pic:cNvPicPr>
                      <a:picLocks noChangeArrowheads="1" noChangeAspect="1"/>
                    </pic:cNvPicPr>
                  </pic:nvPicPr>
                  <pic:blipFill>
                    <a:blip r:embed="rId74"/>
                    <a:stretch>
                      <a:fillRect/>
                    </a:stretch>
                  </pic:blipFill>
                  <pic:spPr bwMode="auto">
                    <a:xfrm>
                      <a:off x="0" y="0"/>
                      <a:ext cx="5943600" cy="4457700"/>
                    </a:xfrm>
                    <a:prstGeom prst="rect">
                      <a:avLst/>
                    </a:prstGeom>
                    <a:noFill/>
                    <a:ln w="9525">
                      <a:noFill/>
                      <a:headEnd/>
                      <a:tailEnd/>
                    </a:ln>
                  </pic:spPr>
                </pic:pic>
              </a:graphicData>
            </a:graphic>
          </wp:inline>
        </w:drawing>
      </w:r>
    </w:p>
    <w:p>
      <w:pPr>
        <w:pStyle w:val="Heading4"/>
      </w:pPr>
      <w:bookmarkStart w:id="75" w:name="a-2.1.1.5-west-leech"/>
      <w:r>
        <w:t xml:space="preserve">A-2.1.1.5 West Leech</w:t>
      </w:r>
      <w:bookmarkEnd w:id="75"/>
    </w:p>
    <w:p>
      <w:pPr>
        <w:pStyle w:val="FirstParagraph"/>
      </w:pPr>
      <w:r>
        <w:t xml:space="preserve">Originating in the west of the Leech River watershed, West Leech River is a 4th order mainstem river. The West Leech research site monitors a drainage area of approximately 35 km</w:t>
      </w:r>
      <w:r>
        <w:rPr>
          <w:vertAlign w:val="superscript"/>
        </w:rPr>
        <w:t xml:space="preserve">2</w:t>
      </w:r>
      <w:r>
        <w:t xml:space="preserve"> </w:t>
      </w:r>
      <w:r>
        <w:t xml:space="preserve">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pPr>
        <w:pStyle w:val="CaptionedFigure"/>
      </w:pPr>
      <w:r>
        <w:drawing>
          <wp:inline>
            <wp:extent cx="5943600" cy="2971800"/>
            <wp:effectExtent b="0" l="0" r="0" t="0"/>
            <wp:docPr descr="West Leech lowflow (left)" title="" id="1" name="Picture"/>
            <a:graphic>
              <a:graphicData uri="http://schemas.openxmlformats.org/drawingml/2006/picture">
                <pic:pic>
                  <pic:nvPicPr>
                    <pic:cNvPr descr="R-inputs_UBC-forWater-MSc_HMc/images/WestLeech_lowflow_20190823_091048.jpg" id="0" name="Picture"/>
                    <pic:cNvPicPr>
                      <a:picLocks noChangeArrowheads="1" noChangeAspect="1"/>
                    </pic:cNvPicPr>
                  </pic:nvPicPr>
                  <pic:blipFill>
                    <a:blip r:embed="rId7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West Leech lowflow (left)</w:t>
      </w:r>
    </w:p>
    <w:p>
      <w:pPr>
        <w:pStyle w:val="CaptionedFigure"/>
      </w:pPr>
      <w:r>
        <w:drawing>
          <wp:inline>
            <wp:extent cx="3810000" cy="2540000"/>
            <wp:effectExtent b="0" l="0" r="0" t="0"/>
            <wp:docPr descr="West Leech high flow (right)" title="" id="1" name="Picture"/>
            <a:graphic>
              <a:graphicData uri="http://schemas.openxmlformats.org/drawingml/2006/picture">
                <pic:pic>
                  <pic:nvPicPr>
                    <pic:cNvPr descr="R-inputs_UBC-forWater-MSc_HMc/images/WestLeech_highflow_IMG_0569-01.jpeg" id="0" name="Picture"/>
                    <pic:cNvPicPr>
                      <a:picLocks noChangeArrowheads="1" noChangeAspect="1"/>
                    </pic:cNvPicPr>
                  </pic:nvPicPr>
                  <pic:blipFill>
                    <a:blip r:embed="rId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West Leech high flow (right)</w:t>
      </w:r>
    </w:p>
    <w:p>
      <w:pPr>
        <w:pStyle w:val="Heading4"/>
      </w:pPr>
      <w:bookmarkStart w:id="78" w:name="a-2.1.1.6-leech-tunnel"/>
      <w:r>
        <w:t xml:space="preserve">A-2.1.1.6 Leech Tunnel</w:t>
      </w:r>
      <w:bookmarkEnd w:id="78"/>
    </w:p>
    <w:p>
      <w:pPr>
        <w:pStyle w:val="FirstParagraph"/>
      </w:pPr>
      <w:r>
        <w:t xml:space="preserve">This research site is at the point of future diversion, the Leech Tunnel. The Leech River is 5th order, and this research site has a drainage area of approximately 99 km</w:t>
      </w:r>
      <w:r>
        <w:rPr>
          <w:vertAlign w:val="superscript"/>
        </w:rPr>
        <w:t xml:space="preserve">2</w:t>
      </w:r>
      <w:r>
        <w:t xml:space="preserve">. The streambed here is dominated by Schist bedrock and boulders. The bedrock in the center of the channel is deeply incised, but overall the river is wider than is is deep. The Tunnel site is approximately 1km downstream of the West Leech confluence.</w:t>
      </w:r>
    </w:p>
    <w:p>
      <w:pPr>
        <w:pStyle w:val="SourceCode"/>
      </w:pPr>
      <w:r>
        <w:rPr>
          <w:rStyle w:val="VerbatimChar"/>
        </w:rPr>
        <w:t xml:space="preserve"> ![](R-inputs_UBC-forWater-MSc_HMc/images/XXXXXXX.jpg){width=25%, style="float:left; padding:10px"}</w:t>
      </w:r>
    </w:p>
    <w:p>
      <w:pPr>
        <w:pStyle w:val="Heading2"/>
      </w:pPr>
      <w:bookmarkStart w:id="79" w:name="a-3-methods-extended"/>
      <w:r>
        <w:t xml:space="preserve">A-3 Methods (extended)</w:t>
      </w:r>
      <w:bookmarkEnd w:id="79"/>
    </w:p>
    <w:p>
      <w:pPr>
        <w:pStyle w:val="FirstParagraph"/>
      </w:pPr>
      <w:r>
        <w:t xml:space="preserve">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Siphon sampler background – separate from vertical rack? Mark’s suggestion</w:t>
      </w:r>
    </w:p>
    <w:p>
      <w:pPr>
        <w:pStyle w:val="Heading3"/>
      </w:pPr>
      <w:bookmarkStart w:id="80" w:name="Xd84a40156c095e6b90e5f2dd1b7709f3cf209b3"/>
      <w:r>
        <w:t xml:space="preserve">A-3.1 Vertical racks: passive water sampling on the rising limb of hydrograph</w:t>
      </w:r>
      <w:bookmarkEnd w:id="80"/>
    </w:p>
    <w:p>
      <w:pPr>
        <w:pStyle w:val="FirstParagraph"/>
      </w:pPr>
      <w:r>
        <w:t xml:space="preserve">Each vertical rack included a central stilling well (1.5" PCV pipe (conduit) with 1/2" holes drilled along the length) that had a measuring tape affixed to the front. Inside the stilling well was an</w:t>
      </w:r>
      <w:r>
        <w:t xml:space="preserve"> </w:t>
      </w:r>
      <w:hyperlink r:id="rId47">
        <w:r>
          <w:rPr>
            <w:rStyle w:val="Hyperlink"/>
          </w:rPr>
          <w:t xml:space="preserve">Odyssey Capacitance water level logger</w:t>
        </w:r>
      </w:hyperlink>
      <w:r>
        <w:t xml:space="preserve">. To either side of the central stilling well, slotted offset angle bars were fixed and siphon sampler bottles were attached to the slotted angle bars with hose clamps.</w:t>
      </w:r>
    </w:p>
    <w:p>
      <w:pPr>
        <w:pStyle w:val="BodyText"/>
      </w:pPr>
      <w:r>
        <w:t xml:space="preserve">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e>
            <m:r>
              <m:t>​</m:t>
            </m:r>
          </m:e>
          <m:sup>
            <m:r>
              <m:t>∘</m:t>
            </m:r>
          </m:sup>
        </m:sSup>
      </m:oMath>
      <w:r>
        <w:t xml:space="preserve"> </w:t>
      </w:r>
      <w:r>
        <w:t xml:space="preserve">bend at the top end.</w:t>
      </w:r>
    </w:p>
    <w:p>
      <w:pPr>
        <w:pStyle w:val="CaptionedFigure"/>
      </w:pPr>
      <w:r>
        <w:drawing>
          <wp:inline>
            <wp:extent cx="3474720" cy="6648994"/>
            <wp:effectExtent b="0" l="0" r="0" t="0"/>
            <wp:docPr descr="Figure 4: Rising limb siphon sampler bottle" title="" id="1" name="Picture"/>
            <a:graphic>
              <a:graphicData uri="http://schemas.openxmlformats.org/drawingml/2006/picture">
                <pic:pic>
                  <pic:nvPicPr>
                    <pic:cNvPr descr="R-inputs_UBC-forWater-MSc_HMc/images/siphonsampler_RL_HMc.png" id="0" name="Picture"/>
                    <pic:cNvPicPr>
                      <a:picLocks noChangeArrowheads="1" noChangeAspect="1"/>
                    </pic:cNvPicPr>
                  </pic:nvPicPr>
                  <pic:blipFill>
                    <a:blip r:embed="rId46"/>
                    <a:stretch>
                      <a:fillRect/>
                    </a:stretch>
                  </pic:blipFill>
                  <pic:spPr bwMode="auto">
                    <a:xfrm>
                      <a:off x="0" y="0"/>
                      <a:ext cx="3474720" cy="6648994"/>
                    </a:xfrm>
                    <a:prstGeom prst="rect">
                      <a:avLst/>
                    </a:prstGeom>
                    <a:noFill/>
                    <a:ln w="9525">
                      <a:noFill/>
                      <a:headEnd/>
                      <a:tailEnd/>
                    </a:ln>
                  </pic:spPr>
                </pic:pic>
              </a:graphicData>
            </a:graphic>
          </wp:inline>
        </w:drawing>
      </w:r>
    </w:p>
    <w:p>
      <w:pPr>
        <w:pStyle w:val="ImageCaption"/>
      </w:pPr>
      <w:r>
        <w:rPr>
          <w:b/>
        </w:rPr>
        <w:t xml:space="preserve">Figure 4</w:t>
      </w:r>
      <w:r>
        <w:t xml:space="preserve">: Rising limb siphon sampler bottle</w:t>
      </w:r>
    </w:p>
    <w:p>
      <w:pPr>
        <w:pStyle w:val="BodyText"/>
      </w:pPr>
      <w:r>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sample collection is discrete is addressed in the</w:t>
      </w:r>
      <w:r>
        <w:t xml:space="preserve"> </w:t>
      </w:r>
      <w:r>
        <w:rPr>
          <w:i/>
        </w:rPr>
        <w:t xml:space="preserve">Methods QA/QC</w:t>
      </w:r>
      <w:r>
        <w:t xml:space="preserve"> </w:t>
      </w:r>
      <w:r>
        <w:t xml:space="preserve">section (following).</w:t>
      </w:r>
    </w:p>
    <w:p>
      <w:pPr>
        <w:pStyle w:val="BodyText"/>
      </w:pPr>
      <w:r>
        <w:t xml:space="preserve">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pPr>
        <w:pStyle w:val="Heading4"/>
      </w:pPr>
      <w:bookmarkStart w:id="81" w:name="X0c11dc97f58f1d09e3654817f401e9e07bc1e36"/>
      <w:r>
        <w:t xml:space="preserve">A-3.1.3 Benefits, challenges and assumptions</w:t>
      </w:r>
      <w:bookmarkEnd w:id="81"/>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(discussed in</w:t>
      </w:r>
      <w:r>
        <w:t xml:space="preserve"> </w:t>
      </w:r>
      <w:r>
        <w:rPr>
          <w:i/>
        </w:rPr>
        <w:t xml:space="preserve">Methods QA?QC</w:t>
      </w:r>
      <w:r>
        <w:t xml:space="preserve"> </w:t>
      </w:r>
      <w:r>
        <w:t xml:space="preserve">section below).</w:t>
      </w:r>
    </w:p>
    <w:p>
      <w:pPr>
        <w:pStyle w:val="Heading4"/>
      </w:pPr>
      <w:bookmarkStart w:id="82" w:name="a-3.1.4-field-protocol"/>
      <w:r>
        <w:t xml:space="preserve">A-3.1.4 Field protocol</w:t>
      </w:r>
      <w:bookmarkEnd w:id="82"/>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Heading4"/>
      </w:pPr>
      <w:bookmarkStart w:id="83" w:name="X583ea3cfcaff840bc064bffeede9f0d181e1066"/>
      <w:r>
        <w:t xml:space="preserve">A-3.1.5 Method QA/QC: rising limb sampler quality assurance and quality control</w:t>
      </w:r>
      <w:bookmarkEnd w:id="83"/>
    </w:p>
    <w:p>
      <w:pPr>
        <w:pStyle w:val="FirstParagraph"/>
      </w:pPr>
      <w:r>
        <w:t xml:space="preserve">The methods of passive sampling by vertical racks involve a couple of potential quality control challenges and assumptions. The two key challenges with these methods are the assumption of discrete sample collection, and sample stability during the elapsed time between collection and analysis. These issues were addressed experimentally and are discussed here.</w:t>
      </w:r>
    </w:p>
    <w:p>
      <w:pPr>
        <w:pStyle w:val="Heading4"/>
      </w:pPr>
      <w:bookmarkStart w:id="84" w:name="Xbb2e6e0efd62735ff2c5fe6892028d3ee341642"/>
      <w:r>
        <w:t xml:space="preserve">A-3.2 Development of a modified siphon sampler designed for passive water collection on the falling limb of hydrograph</w:t>
      </w:r>
      <w:bookmarkEnd w:id="84"/>
    </w:p>
    <w:p>
      <w:pPr>
        <w:pStyle w:val="Heading5"/>
      </w:pPr>
      <w:bookmarkStart w:id="85" w:name="a-3.2.1-theory"/>
      <w:r>
        <w:t xml:space="preserve">A-3.2.1 Theory</w:t>
      </w:r>
      <w:bookmarkEnd w:id="85"/>
    </w:p>
    <w:p>
      <w:pPr>
        <w:pStyle w:val="Heading5"/>
      </w:pPr>
      <w:bookmarkStart w:id="86" w:name="a-3.2.2-design"/>
      <w:r>
        <w:t xml:space="preserve">A-3.2.2 Design</w:t>
      </w:r>
      <w:bookmarkEnd w:id="86"/>
    </w:p>
    <w:p>
      <w:pPr>
        <w:pStyle w:val="Heading5"/>
      </w:pPr>
      <w:bookmarkStart w:id="87" w:name="X26a4de71f00d78594fcb23093eb8cc4e6e4c6f7"/>
      <w:r>
        <w:t xml:space="preserve">A-3.2.3 Benefits, challenges and assumptions</w:t>
      </w:r>
      <w:bookmarkEnd w:id="87"/>
    </w:p>
    <w:p>
      <w:pPr>
        <w:pStyle w:val="Heading5"/>
      </w:pPr>
      <w:bookmarkStart w:id="88" w:name="Xc5c2259cdb1ea5ecd669463f1203637baeacc49"/>
      <w:r>
        <w:t xml:space="preserve">A-3.4 Gauging Streamflow (? not yet completed)</w:t>
      </w:r>
      <w:bookmarkEnd w:id="88"/>
    </w:p>
    <w:p>
      <w:pPr>
        <w:pStyle w:val="Heading5"/>
      </w:pPr>
      <w:bookmarkStart w:id="89" w:name="a-3.5-qaqc-laboratory-analysis"/>
      <w:r>
        <w:t xml:space="preserve">A-3.5 QA/QC Laboratory Analysis</w:t>
      </w:r>
      <w:bookmarkEnd w:id="89"/>
    </w:p>
    <w:p>
      <w:pPr>
        <w:pStyle w:val="Heading6"/>
      </w:pPr>
      <w:bookmarkStart w:id="90" w:name="a-3.5.1-instrument-calibration"/>
      <w:r>
        <w:t xml:space="preserve">A-3.5.1 Instrument calibration</w:t>
      </w:r>
      <w:bookmarkEnd w:id="90"/>
    </w:p>
    <w:p>
      <w:pPr>
        <w:pStyle w:val="Heading6"/>
      </w:pPr>
      <w:bookmarkStart w:id="91" w:name="Xa0d95f120b12be0a9c6d92943cdd5df1f07b9de"/>
      <w:r>
        <w:t xml:space="preserve">A-3.5.2 Calibration verification (cal vers)</w:t>
      </w:r>
      <w:bookmarkEnd w:id="91"/>
    </w:p>
    <w:p>
      <w:pPr>
        <w:pStyle w:val="Heading2"/>
      </w:pPr>
      <w:bookmarkStart w:id="92" w:name="Xf7f92eb8ef076991d5668cf420e1b2f7566c74c"/>
      <w:r>
        <w:t xml:space="preserve">A-4 Details: forWater NSERC Strategic Network for forested drinking water source protection technologies</w:t>
      </w:r>
      <w:bookmarkEnd w:id="92"/>
    </w:p>
    <w:p>
      <w:pPr>
        <w:pStyle w:val="CaptionedFigure"/>
      </w:pPr>
      <w:r>
        <w:drawing>
          <wp:inline>
            <wp:extent cx="4334256" cy="4133088"/>
            <wp:effectExtent b="0" l="0" r="0" t="0"/>
            <wp:docPr descr="Figure 2: Masters thesis task flowchart" title="" id="1" name="Picture"/>
            <a:graphic>
              <a:graphicData uri="http://schemas.openxmlformats.org/drawingml/2006/picture">
                <pic:pic>
                  <pic:nvPicPr>
                    <pic:cNvPr descr="R-inputs_UBC-forWater-MSc_HMc/images/MSc_tasksflowchart.jpg" id="0" name="Picture"/>
                    <pic:cNvPicPr>
                      <a:picLocks noChangeArrowheads="1" noChangeAspect="1"/>
                    </pic:cNvPicPr>
                  </pic:nvPicPr>
                  <pic:blipFill>
                    <a:blip r:embed="rId93"/>
                    <a:stretch>
                      <a:fillRect/>
                    </a:stretch>
                  </pic:blipFill>
                  <pic:spPr bwMode="auto">
                    <a:xfrm>
                      <a:off x="0" y="0"/>
                      <a:ext cx="4334256" cy="4133088"/>
                    </a:xfrm>
                    <a:prstGeom prst="rect">
                      <a:avLst/>
                    </a:prstGeom>
                    <a:noFill/>
                    <a:ln w="9525">
                      <a:noFill/>
                      <a:headEnd/>
                      <a:tailEnd/>
                    </a:ln>
                  </pic:spPr>
                </pic:pic>
              </a:graphicData>
            </a:graphic>
          </wp:inline>
        </w:drawing>
      </w:r>
    </w:p>
    <w:p>
      <w:pPr>
        <w:pStyle w:val="ImageCaption"/>
      </w:pPr>
      <w:r>
        <w:rPr>
          <w:b/>
        </w:rPr>
        <w:t xml:space="preserve">Figure 2:</w:t>
      </w:r>
      <w:r>
        <w:t xml:space="preserve"> </w:t>
      </w:r>
      <w:r>
        <w:rPr>
          <w:i/>
        </w:rPr>
        <w:t xml:space="preserve">Masters thesis task flowchart</w:t>
      </w:r>
    </w:p>
    <w:p>
      <w:pPr>
        <w:pStyle w:val="BodyText"/>
      </w:pPr>
      <w:r>
        <w:t xml:space="preserve">The forWater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pPr>
        <w:pStyle w:val="CaptionedFigure"/>
      </w:pPr>
      <w:r>
        <w:drawing>
          <wp:inline>
            <wp:extent cx="5943600" cy="3970324"/>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SourceWater-forWater_smartart.jpg" id="0" name="Picture"/>
                    <pic:cNvPicPr>
                      <a:picLocks noChangeArrowheads="1" noChangeAspect="1"/>
                    </pic:cNvPicPr>
                  </pic:nvPicPr>
                  <pic:blipFill>
                    <a:blip r:embed="rId94"/>
                    <a:stretch>
                      <a:fillRect/>
                    </a:stretch>
                  </pic:blipFill>
                  <pic:spPr bwMode="auto">
                    <a:xfrm>
                      <a:off x="0" y="0"/>
                      <a:ext cx="5943600" cy="3970324"/>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3540650"/>
            <wp:effectExtent b="0" l="0" r="0" t="0"/>
            <wp:docPr descr="forWater NSERC Network for Forested Drinking Water Source Protection Technologies" title="" id="1" name="Picture"/>
            <a:graphic>
              <a:graphicData uri="http://schemas.openxmlformats.org/drawingml/2006/picture">
                <pic:pic>
                  <pic:nvPicPr>
                    <pic:cNvPr descr="R-inputs_UBC-forWater-MSc_HMc/images/forWater_smartart.jpg" id="0" name="Picture"/>
                    <pic:cNvPicPr>
                      <a:picLocks noChangeArrowheads="1" noChangeAspect="1"/>
                    </pic:cNvPicPr>
                  </pic:nvPicPr>
                  <pic:blipFill>
                    <a:blip r:embed="rId95"/>
                    <a:stretch>
                      <a:fillRect/>
                    </a:stretch>
                  </pic:blipFill>
                  <pic:spPr bwMode="auto">
                    <a:xfrm>
                      <a:off x="0" y="0"/>
                      <a:ext cx="5943600" cy="3540650"/>
                    </a:xfrm>
                    <a:prstGeom prst="rect">
                      <a:avLst/>
                    </a:prstGeom>
                    <a:noFill/>
                    <a:ln w="9525">
                      <a:noFill/>
                      <a:headEnd/>
                      <a:tailEnd/>
                    </a:ln>
                  </pic:spPr>
                </pic:pic>
              </a:graphicData>
            </a:graphic>
          </wp:inline>
        </w:drawing>
      </w:r>
    </w:p>
    <w:p>
      <w:pPr>
        <w:pStyle w:val="ImageCaption"/>
      </w:pPr>
      <w:r>
        <w:t xml:space="preserve">forWater NSERC Network for Forested Drinking Water Source Protection Technologies</w:t>
      </w:r>
    </w:p>
    <w:p>
      <w:pPr>
        <w:pStyle w:val="CaptionedFigure"/>
      </w:pPr>
      <w:r>
        <w:drawing>
          <wp:inline>
            <wp:extent cx="5943600" cy="1550323"/>
            <wp:effectExtent b="0" l="0" r="0" t="0"/>
            <wp:docPr descr="forWater Research Themes" title="" id="1" name="Picture"/>
            <a:graphic>
              <a:graphicData uri="http://schemas.openxmlformats.org/drawingml/2006/picture">
                <pic:pic>
                  <pic:nvPicPr>
                    <pic:cNvPr descr="R-inputs_UBC-forWater-MSc_HMc/images/forWater_themes.jpg" id="0" name="Picture"/>
                    <pic:cNvPicPr>
                      <a:picLocks noChangeArrowheads="1" noChangeAspect="1"/>
                    </pic:cNvPicPr>
                  </pic:nvPicPr>
                  <pic:blipFill>
                    <a:blip r:embed="rId96"/>
                    <a:stretch>
                      <a:fillRect/>
                    </a:stretch>
                  </pic:blipFill>
                  <pic:spPr bwMode="auto">
                    <a:xfrm>
                      <a:off x="0" y="0"/>
                      <a:ext cx="5943600" cy="1550323"/>
                    </a:xfrm>
                    <a:prstGeom prst="rect">
                      <a:avLst/>
                    </a:prstGeom>
                    <a:noFill/>
                    <a:ln w="9525">
                      <a:noFill/>
                      <a:headEnd/>
                      <a:tailEnd/>
                    </a:ln>
                  </pic:spPr>
                </pic:pic>
              </a:graphicData>
            </a:graphic>
          </wp:inline>
        </w:drawing>
      </w:r>
    </w:p>
    <w:p>
      <w:pPr>
        <w:pStyle w:val="ImageCaption"/>
      </w:pPr>
      <w:r>
        <w:t xml:space="preserve">forWater Research Themes</w:t>
      </w:r>
    </w:p>
    <w:p>
      <w:pPr>
        <w:pStyle w:val="Heading1"/>
      </w:pPr>
      <w:bookmarkStart w:id="97" w:name="references-1"/>
      <w:r>
        <w:t xml:space="preserve">References</w:t>
      </w:r>
      <w:bookmarkEnd w:id="97"/>
    </w:p>
    <w:bookmarkStart w:id="170" w:name="refs"/>
    <w:bookmarkStart w:id="99"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98">
        <w:r>
          <w:rPr>
            <w:rStyle w:val="Hyperlink"/>
          </w:rPr>
          <w:t xml:space="preserve">https://doi.org/10.1111/ele.12897</w:t>
        </w:r>
      </w:hyperlink>
      <w:r>
        <w:t xml:space="preserve">.</w:t>
      </w:r>
    </w:p>
    <w:bookmarkEnd w:id="99"/>
    <w:bookmarkStart w:id="101"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00">
        <w:r>
          <w:rPr>
            <w:rStyle w:val="Hyperlink"/>
          </w:rPr>
          <w:t xml:space="preserve">https://doi.org/10.1021/es103992s</w:t>
        </w:r>
      </w:hyperlink>
      <w:r>
        <w:t xml:space="preserve">.</w:t>
      </w:r>
    </w:p>
    <w:bookmarkEnd w:id="101"/>
    <w:bookmarkStart w:id="103"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02">
        <w:r>
          <w:rPr>
            <w:rStyle w:val="Hyperlink"/>
          </w:rPr>
          <w:t xml:space="preserve">https://doi.org/10.1016/j.jhydrol.2014.05.060</w:t>
        </w:r>
      </w:hyperlink>
      <w:r>
        <w:t xml:space="preserve">.</w:t>
      </w:r>
    </w:p>
    <w:bookmarkEnd w:id="103"/>
    <w:bookmarkStart w:id="105" w:name="ref-BC2019"/>
    <w:p>
      <w:pPr>
        <w:pStyle w:val="Bibliography"/>
      </w:pPr>
      <w:r>
        <w:t xml:space="preserve">British Columbia Ministry of Environment. 2017. “Source Drinking Water Quality Guidelines: Guideline Summary.” Victoria, B.C.: Prov. B.C.</w:t>
      </w:r>
      <w:r>
        <w:t xml:space="preserve"> </w:t>
      </w:r>
      <w:hyperlink r:id="rId104">
        <w:r>
          <w:rPr>
            <w:rStyle w:val="Hyperlink"/>
          </w:rPr>
          <w:t xml:space="preserve">https://www2.gov.bc.ca/gov/content/governments/organizational-structure/ministries-organizations/ministries/environment-climate-change</w:t>
        </w:r>
      </w:hyperlink>
      <w:r>
        <w:t xml:space="preserve">.</w:t>
      </w:r>
    </w:p>
    <w:bookmarkEnd w:id="105"/>
    <w:bookmarkStart w:id="107"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06">
        <w:r>
          <w:rPr>
            <w:rStyle w:val="Hyperlink"/>
          </w:rPr>
          <w:t xml:space="preserve">https://doi.org/10.2166/aqua.2008.064</w:t>
        </w:r>
      </w:hyperlink>
      <w:r>
        <w:t xml:space="preserve">.</w:t>
      </w:r>
    </w:p>
    <w:bookmarkEnd w:id="107"/>
    <w:bookmarkStart w:id="109" w:name="ref-CapitalRegionDistrict2017"/>
    <w:p>
      <w:pPr>
        <w:pStyle w:val="Bibliography"/>
      </w:pPr>
      <w:r>
        <w:t xml:space="preserve">CRD. 2017. “Regional Water Supply 2017 Strategic Plan.” Victoria, B.C.: Capital Region District, Integrated Water Services.</w:t>
      </w:r>
      <w:r>
        <w:t xml:space="preserve"> </w:t>
      </w:r>
      <w:hyperlink r:id="rId108">
        <w:r>
          <w:rPr>
            <w:rStyle w:val="Hyperlink"/>
          </w:rPr>
          <w:t xml:space="preserve">https://www.crd.bc.ca/project/past-capital-projects-and-initiatives/water-supply-plan</w:t>
        </w:r>
      </w:hyperlink>
      <w:r>
        <w:t xml:space="preserve">.</w:t>
      </w:r>
    </w:p>
    <w:bookmarkEnd w:id="109"/>
    <w:bookmarkStart w:id="111"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10">
        <w:r>
          <w:rPr>
            <w:rStyle w:val="Hyperlink"/>
          </w:rPr>
          <w:t xml:space="preserve">https://doi.org/IWSS-297445977-5079</w:t>
        </w:r>
      </w:hyperlink>
      <w:r>
        <w:t xml:space="preserve">.</w:t>
      </w:r>
    </w:p>
    <w:bookmarkEnd w:id="111"/>
    <w:bookmarkStart w:id="113"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12">
        <w:r>
          <w:rPr>
            <w:rStyle w:val="Hyperlink"/>
          </w:rPr>
          <w:t xml:space="preserve">https://doi.org/10.1139/cjfas-2014-0400</w:t>
        </w:r>
      </w:hyperlink>
      <w:r>
        <w:t xml:space="preserve">.</w:t>
      </w:r>
    </w:p>
    <w:bookmarkEnd w:id="113"/>
    <w:bookmarkStart w:id="115"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114">
        <w:r>
          <w:rPr>
            <w:rStyle w:val="Hyperlink"/>
          </w:rPr>
          <w:t xml:space="preserve">https://doi.org/10.1016/j.watres.2016.08.031</w:t>
        </w:r>
      </w:hyperlink>
      <w:r>
        <w:t xml:space="preserve">.</w:t>
      </w:r>
    </w:p>
    <w:bookmarkEnd w:id="115"/>
    <w:bookmarkStart w:id="117"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116">
        <w:r>
          <w:rPr>
            <w:rStyle w:val="Hyperlink"/>
          </w:rPr>
          <w:t xml:space="preserve">http://scholar.google.com/scholar?hl=en{\&amp;}btnG=Search{\&amp;}q=intitle:Running+Pure{\#}1</w:t>
        </w:r>
      </w:hyperlink>
      <w:r>
        <w:t xml:space="preserve">.</w:t>
      </w:r>
    </w:p>
    <w:bookmarkEnd w:id="117"/>
    <w:bookmarkStart w:id="119" w:name="ref-StdMet2000"/>
    <w:p>
      <w:pPr>
        <w:pStyle w:val="Bibliography"/>
      </w:pPr>
      <w:r>
        <w:t xml:space="preserve">Eaton, A. D., Clesceri, L. S., Greenberg, A. E., Franson, M. A. H. 2000. “Total Organic Carbon (TOC) - 5310 A.” In</w:t>
      </w:r>
      <w:r>
        <w:t xml:space="preserve"> </w:t>
      </w:r>
      <w:r>
        <w:rPr>
          <w:i/>
        </w:rPr>
        <w:t xml:space="preserve">Standard Methods for the Examination of Water and Wastewater</w:t>
      </w:r>
      <w:r>
        <w:t xml:space="preserve">, 6th ed., 19–20. Washington, DC: American Public Health Association.</w:t>
      </w:r>
      <w:r>
        <w:t xml:space="preserve"> </w:t>
      </w:r>
      <w:hyperlink r:id="rId118">
        <w:r>
          <w:rPr>
            <w:rStyle w:val="Hyperlink"/>
          </w:rPr>
          <w:t xml:space="preserve">http://www.standardmethods.org/</w:t>
        </w:r>
      </w:hyperlink>
      <w:r>
        <w:t xml:space="preserve">.</w:t>
      </w:r>
    </w:p>
    <w:bookmarkEnd w:id="119"/>
    <w:bookmarkStart w:id="121"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120">
        <w:r>
          <w:rPr>
            <w:rStyle w:val="Hyperlink"/>
          </w:rPr>
          <w:t xml:space="preserve">https://doi.org/10.3133/fs06700</w:t>
        </w:r>
      </w:hyperlink>
      <w:r>
        <w:t xml:space="preserve">.</w:t>
      </w:r>
    </w:p>
    <w:bookmarkEnd w:id="121"/>
    <w:bookmarkStart w:id="123" w:name="ref-HealthCanada2019"/>
    <w:p>
      <w:pPr>
        <w:pStyle w:val="Bibliography"/>
      </w:pPr>
      <w:r>
        <w:t xml:space="preserve">Health Canada. 2019. “Guidance on Natural Organic Matter in Drinking Water.”</w:t>
      </w:r>
      <w:r>
        <w:t xml:space="preserve"> </w:t>
      </w:r>
      <w:hyperlink r:id="rId122">
        <w:r>
          <w:rPr>
            <w:rStyle w:val="Hyperlink"/>
          </w:rPr>
          <w:t xml:space="preserve">https://www.canada.ca/content/dam/hc-sc/documents/programs/consultation-organic-matter-drinking-water/NOM20190129-eng.pdf</w:t>
        </w:r>
      </w:hyperlink>
      <w:r>
        <w:t xml:space="preserve">.</w:t>
      </w:r>
    </w:p>
    <w:bookmarkEnd w:id="123"/>
    <w:bookmarkStart w:id="125" w:name="ref-HealthCanada2006"/>
    <w:p>
      <w:pPr>
        <w:pStyle w:val="Bibliography"/>
      </w:pPr>
      <w:r>
        <w:t xml:space="preserve">HealthCanada. 2006. “Drinking Water Chlorination.”</w:t>
      </w:r>
      <w:r>
        <w:t xml:space="preserve"> </w:t>
      </w:r>
      <w:hyperlink r:id="rId124">
        <w:r>
          <w:rPr>
            <w:rStyle w:val="Hyperlink"/>
          </w:rPr>
          <w:t xml:space="preserve">https://www.canada.ca/en/health-canada/services/healthy-living/your-health/environment/drinking-water-chlorination.html</w:t>
        </w:r>
      </w:hyperlink>
      <w:r>
        <w:t xml:space="preserve">.</w:t>
      </w:r>
    </w:p>
    <w:bookmarkEnd w:id="125"/>
    <w:bookmarkStart w:id="127" w:name="ref-HealthLinkBC2018"/>
    <w:p>
      <w:pPr>
        <w:pStyle w:val="Bibliography"/>
      </w:pPr>
      <w:r>
        <w:t xml:space="preserve">HealthLinkBC. 2018. “Drinking Water Chlorination,” no. 49.</w:t>
      </w:r>
      <w:r>
        <w:t xml:space="preserve"> </w:t>
      </w:r>
      <w:hyperlink r:id="rId126">
        <w:r>
          <w:rPr>
            <w:rStyle w:val="Hyperlink"/>
          </w:rPr>
          <w:t xml:space="preserve">https://www.healthlinkbc.ca/healthlinkbc-files/drinking-water-chlorination</w:t>
        </w:r>
      </w:hyperlink>
      <w:r>
        <w:t xml:space="preserve">.</w:t>
      </w:r>
    </w:p>
    <w:bookmarkEnd w:id="127"/>
    <w:bookmarkStart w:id="129" w:name="ref-Helms2008"/>
    <w:p>
      <w:pPr>
        <w:pStyle w:val="Bibliography"/>
      </w:pPr>
      <w:r>
        <w:t xml:space="preserve">Helms, John R, Avon Stubbins, Jason D Ritchie, Elizabeth C Minor, and Kenneth Mopper. 2008. “Absorption Spectral Slopes and Slope Ratios as Indicators of Molecular Weight , Source , and Photobleaching of Chromophoric Dissolved Organic Matter Author ( s ): John R . Helms , Aron Stubbins , Jason D . Ritchie , Elizabeth C . Minor , David J . Kieber.”</w:t>
      </w:r>
      <w:r>
        <w:t xml:space="preserve"> </w:t>
      </w:r>
      <w:r>
        <w:rPr>
          <w:i/>
        </w:rPr>
        <w:t xml:space="preserve">Limnology and Oceanography</w:t>
      </w:r>
      <w:r>
        <w:t xml:space="preserve"> </w:t>
      </w:r>
      <w:r>
        <w:t xml:space="preserve">53 (3): 955–69.</w:t>
      </w:r>
      <w:r>
        <w:t xml:space="preserve"> </w:t>
      </w:r>
      <w:hyperlink r:id="rId128">
        <w:r>
          <w:rPr>
            <w:rStyle w:val="Hyperlink"/>
          </w:rPr>
          <w:t xml:space="preserve">https://www.jstor.org/stable/40058211</w:t>
        </w:r>
      </w:hyperlink>
      <w:r>
        <w:t xml:space="preserve">.</w:t>
      </w:r>
    </w:p>
    <w:bookmarkEnd w:id="129"/>
    <w:bookmarkStart w:id="131" w:name="ref-Hua2015"/>
    <w:p>
      <w:pPr>
        <w:pStyle w:val="Bibliography"/>
      </w:pPr>
      <w:r>
        <w:t xml:space="preserve">Hua, Guanghui, David A. Reckhow, and Ibrahim Abusallout. 2015. “Correlation between SUVA and DBP formation during chlorination and chloramination of NOM fractions from different sources.”</w:t>
      </w:r>
      <w:r>
        <w:t xml:space="preserve"> </w:t>
      </w:r>
      <w:r>
        <w:rPr>
          <w:i/>
        </w:rPr>
        <w:t xml:space="preserve">Chemosphere</w:t>
      </w:r>
      <w:r>
        <w:t xml:space="preserve"> </w:t>
      </w:r>
      <w:r>
        <w:t xml:space="preserve">130: 82–89.</w:t>
      </w:r>
      <w:r>
        <w:t xml:space="preserve"> </w:t>
      </w:r>
      <w:hyperlink r:id="rId130">
        <w:r>
          <w:rPr>
            <w:rStyle w:val="Hyperlink"/>
          </w:rPr>
          <w:t xml:space="preserve">https://doi.org/10.1016/j.chemosphere.2015.03.039</w:t>
        </w:r>
      </w:hyperlink>
      <w:r>
        <w:t xml:space="preserve">.</w:t>
      </w:r>
    </w:p>
    <w:bookmarkEnd w:id="131"/>
    <w:bookmarkStart w:id="133"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132">
        <w:r>
          <w:rPr>
            <w:rStyle w:val="Hyperlink"/>
          </w:rPr>
          <w:t xml:space="preserve">https://doi.org/doi:10.1046/j.1365-2427.1997.d01-539.x</w:t>
        </w:r>
      </w:hyperlink>
      <w:r>
        <w:t xml:space="preserve">.</w:t>
      </w:r>
    </w:p>
    <w:bookmarkEnd w:id="133"/>
    <w:bookmarkStart w:id="135"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134">
        <w:r>
          <w:rPr>
            <w:rStyle w:val="Hyperlink"/>
          </w:rPr>
          <w:t xml:space="preserve">https://archive.org/details/metaltransportre00lazeuoft/mode/2up</w:t>
        </w:r>
      </w:hyperlink>
      <w:r>
        <w:t xml:space="preserve">.</w:t>
      </w:r>
    </w:p>
    <w:bookmarkEnd w:id="135"/>
    <w:bookmarkStart w:id="137"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136">
        <w:r>
          <w:rPr>
            <w:rStyle w:val="Hyperlink"/>
          </w:rPr>
          <w:t xml:space="preserve">https://doi.org/10.1016/j.jhazmat.2014.02.009</w:t>
        </w:r>
      </w:hyperlink>
      <w:r>
        <w:t xml:space="preserve">.</w:t>
      </w:r>
    </w:p>
    <w:bookmarkEnd w:id="137"/>
    <w:bookmarkStart w:id="139"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138">
        <w:r>
          <w:rPr>
            <w:rStyle w:val="Hyperlink"/>
          </w:rPr>
          <w:t xml:space="preserve">https://doi.org/10.1016/j.chemosphere.2011.01.018</w:t>
        </w:r>
      </w:hyperlink>
      <w:r>
        <w:t xml:space="preserve">.</w:t>
      </w:r>
    </w:p>
    <w:bookmarkEnd w:id="139"/>
    <w:bookmarkStart w:id="141" w:name="ref-Meyer1983"/>
    <w:p>
      <w:pPr>
        <w:pStyle w:val="Bibliography"/>
      </w:pPr>
      <w:r>
        <w:t xml:space="preserve">Meyer, Judy L., and Cathy M . Tate. 1983. “The Effects of Watershed Disturbance on Dissolved Organic Carbon Dynamics of a Stream Author.”</w:t>
      </w:r>
      <w:r>
        <w:t xml:space="preserve"> </w:t>
      </w:r>
      <w:r>
        <w:rPr>
          <w:i/>
        </w:rPr>
        <w:t xml:space="preserve">Ecology</w:t>
      </w:r>
      <w:r>
        <w:t xml:space="preserve"> </w:t>
      </w:r>
      <w:r>
        <w:t xml:space="preserve">64 (1): 33–44.</w:t>
      </w:r>
      <w:r>
        <w:t xml:space="preserve"> </w:t>
      </w:r>
      <w:hyperlink r:id="rId140">
        <w:r>
          <w:rPr>
            <w:rStyle w:val="Hyperlink"/>
          </w:rPr>
          <w:t xml:space="preserve">https://www.jstor.org/stable/1937326</w:t>
        </w:r>
      </w:hyperlink>
      <w:r>
        <w:t xml:space="preserve">.</w:t>
      </w:r>
    </w:p>
    <w:bookmarkEnd w:id="141"/>
    <w:bookmarkStart w:id="142" w:name="ref-Mistick2019"/>
    <w:p>
      <w:pPr>
        <w:pStyle w:val="Bibliography"/>
      </w:pPr>
      <w:r>
        <w:t xml:space="preserve">Mistick, Emily. 2019. “FOREST HARVEST AND WATER TREATABILITY: ANALYSIS OF DISSOLVED ORGANIC CARBON IN HEADWATER STREAMS OF CONTRASTING FOREST HARVEST HISTORY DURING BASE FLOW AND STORM FLOW.” PhD thesis, UNIVERSITY OF BRITISH COLUMBIA.</w:t>
      </w:r>
    </w:p>
    <w:bookmarkEnd w:id="142"/>
    <w:bookmarkStart w:id="144"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143">
        <w:r>
          <w:rPr>
            <w:rStyle w:val="Hyperlink"/>
          </w:rPr>
          <w:t xml:space="preserve">https://doi.org/10.1007/s10533-015-0103-6</w:t>
        </w:r>
      </w:hyperlink>
      <w:r>
        <w:t xml:space="preserve">.</w:t>
      </w:r>
    </w:p>
    <w:bookmarkEnd w:id="144"/>
    <w:bookmarkStart w:id="146"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145">
        <w:r>
          <w:rPr>
            <w:rStyle w:val="Hyperlink"/>
          </w:rPr>
          <w:t xml:space="preserve">https://doi.org/10.5194/bg-10-2315-2013</w:t>
        </w:r>
      </w:hyperlink>
      <w:r>
        <w:t xml:space="preserve">.</w:t>
      </w:r>
    </w:p>
    <w:bookmarkEnd w:id="146"/>
    <w:bookmarkStart w:id="148"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147">
        <w:r>
          <w:rPr>
            <w:rStyle w:val="Hyperlink"/>
          </w:rPr>
          <w:t xml:space="preserve">https://doi.org/10.1007/s11270-013-1651-9</w:t>
        </w:r>
      </w:hyperlink>
      <w:r>
        <w:t xml:space="preserve">.</w:t>
      </w:r>
    </w:p>
    <w:bookmarkEnd w:id="148"/>
    <w:bookmarkStart w:id="150"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149">
        <w:r>
          <w:rPr>
            <w:rStyle w:val="Hyperlink"/>
          </w:rPr>
          <w:t xml:space="preserve">https://www.for.gov.bc.ca/hfd/pubs/docs/lmh/Lmh66/LMH66{\_}volume2of2.pdf</w:t>
        </w:r>
      </w:hyperlink>
      <w:r>
        <w:t xml:space="preserve">.</w:t>
      </w:r>
    </w:p>
    <w:bookmarkEnd w:id="150"/>
    <w:bookmarkStart w:id="151"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151"/>
    <w:bookmarkStart w:id="153"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152">
        <w:r>
          <w:rPr>
            <w:rStyle w:val="Hyperlink"/>
          </w:rPr>
          <w:t xml:space="preserve">https://doi.org/10.1007/sl0533-010-9416-7</w:t>
        </w:r>
      </w:hyperlink>
      <w:r>
        <w:t xml:space="preserve">.</w:t>
      </w:r>
    </w:p>
    <w:bookmarkEnd w:id="153"/>
    <w:bookmarkStart w:id="155"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154">
        <w:r>
          <w:rPr>
            <w:rStyle w:val="Hyperlink"/>
          </w:rPr>
          <w:t xml:space="preserve">https://www.jstor.org/stable/24702986</w:t>
        </w:r>
      </w:hyperlink>
      <w:r>
        <w:t xml:space="preserve">.</w:t>
      </w:r>
    </w:p>
    <w:bookmarkEnd w:id="155"/>
    <w:bookmarkStart w:id="157" w:name="ref-Richardson2007"/>
    <w:p>
      <w:pPr>
        <w:pStyle w:val="Bibliography"/>
      </w:pPr>
      <w:r>
        <w:t xml:space="preserve">Richardson, Susan D., Michael J. Plewa, Elizabeth D. Wagner, Rita Schoeny, and David M. DeMarini. 2007. “Occurrence, genotoxicity, and carcinogenicity of regulated and emerging disinfection by-products in drinking water: A review and roadmap for research.”</w:t>
      </w:r>
      <w:r>
        <w:t xml:space="preserve"> </w:t>
      </w:r>
      <w:r>
        <w:rPr>
          <w:i/>
        </w:rPr>
        <w:t xml:space="preserve">Mutation Research - Reviews in Mutation Research</w:t>
      </w:r>
      <w:r>
        <w:t xml:space="preserve"> </w:t>
      </w:r>
      <w:r>
        <w:t xml:space="preserve">636 (1-3): 178–242.</w:t>
      </w:r>
      <w:r>
        <w:t xml:space="preserve"> </w:t>
      </w:r>
      <w:hyperlink r:id="rId156">
        <w:r>
          <w:rPr>
            <w:rStyle w:val="Hyperlink"/>
          </w:rPr>
          <w:t xml:space="preserve">https://doi.org/10.1016/j.mrrev.2007.09.001</w:t>
        </w:r>
      </w:hyperlink>
      <w:r>
        <w:t xml:space="preserve">.</w:t>
      </w:r>
    </w:p>
    <w:bookmarkEnd w:id="157"/>
    <w:bookmarkStart w:id="159"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158">
        <w:r>
          <w:rPr>
            <w:rStyle w:val="Hyperlink"/>
          </w:rPr>
          <w:t xml:space="preserve">https://doi.org/10.1111/j.1365-2427.2011.02613.x</w:t>
        </w:r>
      </w:hyperlink>
      <w:r>
        <w:t xml:space="preserve">.</w:t>
      </w:r>
    </w:p>
    <w:bookmarkEnd w:id="159"/>
    <w:bookmarkStart w:id="160"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160"/>
    <w:bookmarkStart w:id="161"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161"/>
    <w:bookmarkStart w:id="163"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162">
        <w:r>
          <w:rPr>
            <w:rStyle w:val="Hyperlink"/>
          </w:rPr>
          <w:t xml:space="preserve">https://doi.org/10.1007/s10533-008-9207-6</w:t>
        </w:r>
      </w:hyperlink>
      <w:r>
        <w:t xml:space="preserve">.</w:t>
      </w:r>
    </w:p>
    <w:bookmarkEnd w:id="163"/>
    <w:bookmarkStart w:id="165"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164">
        <w:r>
          <w:rPr>
            <w:rStyle w:val="Hyperlink"/>
          </w:rPr>
          <w:t xml:space="preserve">https://doi.org/10.1021/es030360x</w:t>
        </w:r>
      </w:hyperlink>
      <w:r>
        <w:t xml:space="preserve">.</w:t>
      </w:r>
    </w:p>
    <w:bookmarkEnd w:id="165"/>
    <w:bookmarkStart w:id="167"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166">
        <w:r>
          <w:rPr>
            <w:rStyle w:val="Hyperlink"/>
          </w:rPr>
          <w:t xml:space="preserve">https://doi.org/10.1007/s11356-015-4078-6</w:t>
        </w:r>
      </w:hyperlink>
      <w:r>
        <w:t xml:space="preserve">.</w:t>
      </w:r>
    </w:p>
    <w:bookmarkEnd w:id="167"/>
    <w:bookmarkStart w:id="169"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168">
        <w:r>
          <w:rPr>
            <w:rStyle w:val="Hyperlink"/>
          </w:rPr>
          <w:t xml:space="preserve">https://doi.org/10.1029/2018GL080005</w:t>
        </w:r>
      </w:hyperlink>
      <w:r>
        <w:t xml:space="preserve">.</w:t>
      </w:r>
    </w:p>
    <w:bookmarkEnd w:id="169"/>
    <w:bookmarkEnd w:id="170"/>
    <w:sectPr w:rsidR="00A319E1" w:rsidRPr="00D3712C" w:rsidSect="00CC27DB">
      <w:footerReference w:type="default" r:id="rId9"/>
      <w:pgSz w:w="12240" w:h="15840"/>
      <w:pgMar w:top="1440" w:right="1440" w:bottom="1440" w:left="1440" w:header="708" w:footer="708" w:gutter="0"/>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3DD9B13B" w14:textId="77777777" w:rsidR="00CC27DB" w:rsidRDefault="00D6264D" w:rsidP="000E25D6">
        <w:pPr>
          <w:pStyle w:val="Footer"/>
        </w:pPr>
        <w:r>
          <w:fldChar w:fldCharType="begin"/>
        </w:r>
        <w:r>
          <w:instrText xml:space="preserve"> PAGE   \* MERGEFORMAT </w:instrText>
        </w:r>
        <w:r>
          <w:fldChar w:fldCharType="separate"/>
        </w:r>
        <w:r>
          <w:rPr>
            <w:noProof/>
          </w:rPr>
          <w:t>2</w:t>
        </w:r>
        <w:r>
          <w:rPr>
            <w:noProof/>
          </w:rPr>
          <w:fldChar w:fldCharType="end"/>
        </w:r>
      </w:p>
    </w:sdtContent>
  </w:sdt>
  <w:p w14:paraId="6371077D" w14:textId="77777777" w:rsidR="00CC27DB" w:rsidRDefault="006F7B07" w:rsidP="000E25D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E25D6"/>
    <w:pPr>
      <w:spacing w:before="240"/>
    </w:pPr>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54343A"/>
    <w:pPr>
      <w:tabs>
        <w:tab w:val="right" w:leader="dot" w:pos="9350"/>
      </w:tabs>
      <w:spacing w:before="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0E25D6"/>
    <w:pPr>
      <w:ind w:left="720"/>
      <w:contextualSpacing/>
    </w:pPr>
  </w:style>
  <w:style w:type="paragraph" w:styleId="TOCHeading">
    <w:name w:val="TOC Heading"/>
    <w:basedOn w:val="Heading1"/>
    <w:next w:val="Normal"/>
    <w:uiPriority w:val="39"/>
    <w:unhideWhenUsed/>
    <w:qFormat/>
    <w:rsid w:val="00BC3B16"/>
    <w:pPr>
      <w:pageBreakBefore w:val="0"/>
      <w:pBdr>
        <w:bottom w:val="single" w:sz="4" w:space="1" w:color="auto"/>
      </w:pBdr>
      <w:outlineLvl w:val="9"/>
    </w:pPr>
    <w:rPr>
      <w:rFonts w:asciiTheme="majorHAnsi" w:hAnsiTheme="majorHAnsi" w:cstheme="majorBidi"/>
      <w:b/>
      <w:bCs/>
      <w:color w:val="595959" w:themeColor="text1" w:themeTint="A6"/>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39" Target="media/rId39.png" /><Relationship Type="http://schemas.openxmlformats.org/officeDocument/2006/relationships/image" Id="rId71" Target="media/rId71.jpg" /><Relationship Type="http://schemas.openxmlformats.org/officeDocument/2006/relationships/image" Id="rId93" Target="media/rId93.jpg" /><Relationship Type="http://schemas.openxmlformats.org/officeDocument/2006/relationships/image" Id="rId42" Target="media/rId42.png" /><Relationship Type="http://schemas.openxmlformats.org/officeDocument/2006/relationships/image" Id="rId94" Target="media/rId94.jpg" /><Relationship Type="http://schemas.openxmlformats.org/officeDocument/2006/relationships/image" Id="rId77" Target="media/rId77.jpg" /><Relationship Type="http://schemas.openxmlformats.org/officeDocument/2006/relationships/image" Id="rId76" Target="media/rId76.jpg" /><Relationship Type="http://schemas.openxmlformats.org/officeDocument/2006/relationships/image" Id="rId95" Target="media/rId95.jpg" /><Relationship Type="http://schemas.openxmlformats.org/officeDocument/2006/relationships/image" Id="rId96" Target="media/rId96.jpg" /><Relationship Type="http://schemas.openxmlformats.org/officeDocument/2006/relationships/image" Id="rId46" Target="media/rId46.png" /><Relationship Type="http://schemas.openxmlformats.org/officeDocument/2006/relationships/image" Id="rId44" Target="media/rId44.jpg" /><Relationship Type="http://schemas.openxmlformats.org/officeDocument/2006/relationships/hyperlink" Id="rId47" Target="http://odysseydatarecording.com/index.php?route=product/product&amp;product_id=50" TargetMode="External" /><Relationship Type="http://schemas.openxmlformats.org/officeDocument/2006/relationships/hyperlink" Id="rId116"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18" Target="http://www.standardmethods.org/" TargetMode="External" /><Relationship Type="http://schemas.openxmlformats.org/officeDocument/2006/relationships/hyperlink" Id="rId134" Target="https://archive.org/details/metaltransportre00lazeuoft/mode/2up" TargetMode="External" /><Relationship Type="http://schemas.openxmlformats.org/officeDocument/2006/relationships/hyperlink" Id="rId162" Target="https://doi.org/10.1007/s10533-008-9207-6" TargetMode="External" /><Relationship Type="http://schemas.openxmlformats.org/officeDocument/2006/relationships/hyperlink" Id="rId143" Target="https://doi.org/10.1007/s10533-015-0103-6" TargetMode="External" /><Relationship Type="http://schemas.openxmlformats.org/officeDocument/2006/relationships/hyperlink" Id="rId147" Target="https://doi.org/10.1007/s11270-013-1651-9" TargetMode="External" /><Relationship Type="http://schemas.openxmlformats.org/officeDocument/2006/relationships/hyperlink" Id="rId166" Target="https://doi.org/10.1007/s11356-015-4078-6" TargetMode="External" /><Relationship Type="http://schemas.openxmlformats.org/officeDocument/2006/relationships/hyperlink" Id="rId152" Target="https://doi.org/10.1007/sl0533-010-9416-7" TargetMode="External" /><Relationship Type="http://schemas.openxmlformats.org/officeDocument/2006/relationships/hyperlink" Id="rId138" Target="https://doi.org/10.1016/j.chemosphere.2011.01.018" TargetMode="External" /><Relationship Type="http://schemas.openxmlformats.org/officeDocument/2006/relationships/hyperlink" Id="rId130" Target="https://doi.org/10.1016/j.chemosphere.2015.03.039" TargetMode="External" /><Relationship Type="http://schemas.openxmlformats.org/officeDocument/2006/relationships/hyperlink" Id="rId136" Target="https://doi.org/10.1016/j.jhazmat.2014.02.009" TargetMode="External" /><Relationship Type="http://schemas.openxmlformats.org/officeDocument/2006/relationships/hyperlink" Id="rId102" Target="https://doi.org/10.1016/j.jhydrol.2014.05.060" TargetMode="External" /><Relationship Type="http://schemas.openxmlformats.org/officeDocument/2006/relationships/hyperlink" Id="rId156" Target="https://doi.org/10.1016/j.mrrev.2007.09.001" TargetMode="External" /><Relationship Type="http://schemas.openxmlformats.org/officeDocument/2006/relationships/hyperlink" Id="rId114" Target="https://doi.org/10.1016/j.watres.2016.08.031" TargetMode="External" /><Relationship Type="http://schemas.openxmlformats.org/officeDocument/2006/relationships/hyperlink" Id="rId164" Target="https://doi.org/10.1021/es030360x" TargetMode="External" /><Relationship Type="http://schemas.openxmlformats.org/officeDocument/2006/relationships/hyperlink" Id="rId100" Target="https://doi.org/10.1021/es103992s" TargetMode="External" /><Relationship Type="http://schemas.openxmlformats.org/officeDocument/2006/relationships/hyperlink" Id="rId168" Target="https://doi.org/10.1029/2018GL080005" TargetMode="External" /><Relationship Type="http://schemas.openxmlformats.org/officeDocument/2006/relationships/hyperlink" Id="rId98" Target="https://doi.org/10.1111/ele.12897" TargetMode="External" /><Relationship Type="http://schemas.openxmlformats.org/officeDocument/2006/relationships/hyperlink" Id="rId158" Target="https://doi.org/10.1111/j.1365-2427.2011.02613.x" TargetMode="External" /><Relationship Type="http://schemas.openxmlformats.org/officeDocument/2006/relationships/hyperlink" Id="rId112" Target="https://doi.org/10.1139/cjfas-2014-0400" TargetMode="External" /><Relationship Type="http://schemas.openxmlformats.org/officeDocument/2006/relationships/hyperlink" Id="rId106" Target="https://doi.org/10.2166/aqua.2008.064" TargetMode="External" /><Relationship Type="http://schemas.openxmlformats.org/officeDocument/2006/relationships/hyperlink" Id="rId120" Target="https://doi.org/10.3133/fs06700" TargetMode="External" /><Relationship Type="http://schemas.openxmlformats.org/officeDocument/2006/relationships/hyperlink" Id="rId145" Target="https://doi.org/10.5194/bg-10-2315-2013" TargetMode="External" /><Relationship Type="http://schemas.openxmlformats.org/officeDocument/2006/relationships/hyperlink" Id="rId110" Target="https://doi.org/IWSS-297445977-5079" TargetMode="External" /><Relationship Type="http://schemas.openxmlformats.org/officeDocument/2006/relationships/hyperlink" Id="rId132" Target="https://doi.org/doi:10.1046/j.1365-2427.1997.d01-539.x" TargetMode="External" /><Relationship Type="http://schemas.openxmlformats.org/officeDocument/2006/relationships/hyperlink" Id="rId122" Target="https://www.canada.ca/content/dam/hc-sc/documents/programs/consultation-organic-matter-drinking-water/NOM20190129-eng.pdf" TargetMode="External" /><Relationship Type="http://schemas.openxmlformats.org/officeDocument/2006/relationships/hyperlink" Id="rId124" Target="https://www.canada.ca/en/health-canada/services/healthy-living/your-health/environment/drinking-water-chlorination.html" TargetMode="External" /><Relationship Type="http://schemas.openxmlformats.org/officeDocument/2006/relationships/hyperlink" Id="rId108" Target="https://www.crd.bc.ca/project/past-capital-projects-and-initiatives/water-supply-plan" TargetMode="External" /><Relationship Type="http://schemas.openxmlformats.org/officeDocument/2006/relationships/hyperlink" Id="rId149"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26" Target="https://www.healthlinkbc.ca/healthlinkbc-files/drinking-water-chlorination" TargetMode="External" /><Relationship Type="http://schemas.openxmlformats.org/officeDocument/2006/relationships/hyperlink" Id="rId140" Target="https://www.jstor.org/stable/1937326" TargetMode="External" /><Relationship Type="http://schemas.openxmlformats.org/officeDocument/2006/relationships/hyperlink" Id="rId154" Target="https://www.jstor.org/stable/24702986" TargetMode="External" /><Relationship Type="http://schemas.openxmlformats.org/officeDocument/2006/relationships/hyperlink" Id="rId128" Target="https://www.jstor.org/stable/40058211" TargetMode="External" /><Relationship Type="http://schemas.openxmlformats.org/officeDocument/2006/relationships/hyperlink" Id="rId104"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47" Target="http://odysseydatarecording.com/index.php?route=product/product&amp;product_id=50" TargetMode="External" /><Relationship Type="http://schemas.openxmlformats.org/officeDocument/2006/relationships/hyperlink" Id="rId116" Target="http://scholar.google.com/scholar?hl=en%7B\&amp;%7DbtnG=Search%7B\&amp;%7Dq=intitle:Running+Pure%7B\#%7D1" TargetMode="External" /><Relationship Type="http://schemas.openxmlformats.org/officeDocument/2006/relationships/hyperlink" Id="rId26" Target="http://stackoverflow.com" TargetMode="External" /><Relationship Type="http://schemas.openxmlformats.org/officeDocument/2006/relationships/hyperlink" Id="rId118" Target="http://www.standardmethods.org/" TargetMode="External" /><Relationship Type="http://schemas.openxmlformats.org/officeDocument/2006/relationships/hyperlink" Id="rId134" Target="https://archive.org/details/metaltransportre00lazeuoft/mode/2up" TargetMode="External" /><Relationship Type="http://schemas.openxmlformats.org/officeDocument/2006/relationships/hyperlink" Id="rId162" Target="https://doi.org/10.1007/s10533-008-9207-6" TargetMode="External" /><Relationship Type="http://schemas.openxmlformats.org/officeDocument/2006/relationships/hyperlink" Id="rId143" Target="https://doi.org/10.1007/s10533-015-0103-6" TargetMode="External" /><Relationship Type="http://schemas.openxmlformats.org/officeDocument/2006/relationships/hyperlink" Id="rId147" Target="https://doi.org/10.1007/s11270-013-1651-9" TargetMode="External" /><Relationship Type="http://schemas.openxmlformats.org/officeDocument/2006/relationships/hyperlink" Id="rId166" Target="https://doi.org/10.1007/s11356-015-4078-6" TargetMode="External" /><Relationship Type="http://schemas.openxmlformats.org/officeDocument/2006/relationships/hyperlink" Id="rId152" Target="https://doi.org/10.1007/sl0533-010-9416-7" TargetMode="External" /><Relationship Type="http://schemas.openxmlformats.org/officeDocument/2006/relationships/hyperlink" Id="rId138" Target="https://doi.org/10.1016/j.chemosphere.2011.01.018" TargetMode="External" /><Relationship Type="http://schemas.openxmlformats.org/officeDocument/2006/relationships/hyperlink" Id="rId130" Target="https://doi.org/10.1016/j.chemosphere.2015.03.039" TargetMode="External" /><Relationship Type="http://schemas.openxmlformats.org/officeDocument/2006/relationships/hyperlink" Id="rId136" Target="https://doi.org/10.1016/j.jhazmat.2014.02.009" TargetMode="External" /><Relationship Type="http://schemas.openxmlformats.org/officeDocument/2006/relationships/hyperlink" Id="rId102" Target="https://doi.org/10.1016/j.jhydrol.2014.05.060" TargetMode="External" /><Relationship Type="http://schemas.openxmlformats.org/officeDocument/2006/relationships/hyperlink" Id="rId156" Target="https://doi.org/10.1016/j.mrrev.2007.09.001" TargetMode="External" /><Relationship Type="http://schemas.openxmlformats.org/officeDocument/2006/relationships/hyperlink" Id="rId114" Target="https://doi.org/10.1016/j.watres.2016.08.031" TargetMode="External" /><Relationship Type="http://schemas.openxmlformats.org/officeDocument/2006/relationships/hyperlink" Id="rId164" Target="https://doi.org/10.1021/es030360x" TargetMode="External" /><Relationship Type="http://schemas.openxmlformats.org/officeDocument/2006/relationships/hyperlink" Id="rId100" Target="https://doi.org/10.1021/es103992s" TargetMode="External" /><Relationship Type="http://schemas.openxmlformats.org/officeDocument/2006/relationships/hyperlink" Id="rId168" Target="https://doi.org/10.1029/2018GL080005" TargetMode="External" /><Relationship Type="http://schemas.openxmlformats.org/officeDocument/2006/relationships/hyperlink" Id="rId98" Target="https://doi.org/10.1111/ele.12897" TargetMode="External" /><Relationship Type="http://schemas.openxmlformats.org/officeDocument/2006/relationships/hyperlink" Id="rId158" Target="https://doi.org/10.1111/j.1365-2427.2011.02613.x" TargetMode="External" /><Relationship Type="http://schemas.openxmlformats.org/officeDocument/2006/relationships/hyperlink" Id="rId112" Target="https://doi.org/10.1139/cjfas-2014-0400" TargetMode="External" /><Relationship Type="http://schemas.openxmlformats.org/officeDocument/2006/relationships/hyperlink" Id="rId106" Target="https://doi.org/10.2166/aqua.2008.064" TargetMode="External" /><Relationship Type="http://schemas.openxmlformats.org/officeDocument/2006/relationships/hyperlink" Id="rId120" Target="https://doi.org/10.3133/fs06700" TargetMode="External" /><Relationship Type="http://schemas.openxmlformats.org/officeDocument/2006/relationships/hyperlink" Id="rId145" Target="https://doi.org/10.5194/bg-10-2315-2013" TargetMode="External" /><Relationship Type="http://schemas.openxmlformats.org/officeDocument/2006/relationships/hyperlink" Id="rId110" Target="https://doi.org/IWSS-297445977-5079" TargetMode="External" /><Relationship Type="http://schemas.openxmlformats.org/officeDocument/2006/relationships/hyperlink" Id="rId132" Target="https://doi.org/doi:10.1046/j.1365-2427.1997.d01-539.x" TargetMode="External" /><Relationship Type="http://schemas.openxmlformats.org/officeDocument/2006/relationships/hyperlink" Id="rId122" Target="https://www.canada.ca/content/dam/hc-sc/documents/programs/consultation-organic-matter-drinking-water/NOM20190129-eng.pdf" TargetMode="External" /><Relationship Type="http://schemas.openxmlformats.org/officeDocument/2006/relationships/hyperlink" Id="rId124" Target="https://www.canada.ca/en/health-canada/services/healthy-living/your-health/environment/drinking-water-chlorination.html" TargetMode="External" /><Relationship Type="http://schemas.openxmlformats.org/officeDocument/2006/relationships/hyperlink" Id="rId108" Target="https://www.crd.bc.ca/project/past-capital-projects-and-initiatives/water-supply-plan" TargetMode="External" /><Relationship Type="http://schemas.openxmlformats.org/officeDocument/2006/relationships/hyperlink" Id="rId149"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126" Target="https://www.healthlinkbc.ca/healthlinkbc-files/drinking-water-chlorination" TargetMode="External" /><Relationship Type="http://schemas.openxmlformats.org/officeDocument/2006/relationships/hyperlink" Id="rId140" Target="https://www.jstor.org/stable/1937326" TargetMode="External" /><Relationship Type="http://schemas.openxmlformats.org/officeDocument/2006/relationships/hyperlink" Id="rId154" Target="https://www.jstor.org/stable/24702986" TargetMode="External" /><Relationship Type="http://schemas.openxmlformats.org/officeDocument/2006/relationships/hyperlink" Id="rId128" Target="https://www.jstor.org/stable/40058211" TargetMode="External" /><Relationship Type="http://schemas.openxmlformats.org/officeDocument/2006/relationships/hyperlink" Id="rId104"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Pages>
  <Words>82</Words>
  <Characters>473</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synchrony and variability in source water quality across nested catchments of a protected second growth forested water supply area</dc:title>
  <dc:creator>Hannah J. McSorley</dc:creator>
  <cp:keywords/>
  <dcterms:created xsi:type="dcterms:W3CDTF">2020-02-26T19:16:19Z</dcterms:created>
  <dcterms:modified xsi:type="dcterms:W3CDTF">2020-02-26T19:16:19Z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April 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